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FC42" w14:textId="77777777" w:rsidR="00B90454" w:rsidRDefault="00B90454" w:rsidP="00236E54">
      <w:pPr>
        <w:rPr>
          <w:sz w:val="52"/>
          <w:szCs w:val="52"/>
        </w:rPr>
      </w:pPr>
      <w:r>
        <w:br/>
      </w:r>
    </w:p>
    <w:p w14:paraId="73E956E3" w14:textId="77777777" w:rsidR="0098635A" w:rsidRDefault="0098635A" w:rsidP="00BD08D4">
      <w:pPr>
        <w:jc w:val="center"/>
        <w:rPr>
          <w:rFonts w:ascii="Arial" w:hAnsi="Arial" w:cs="Arial"/>
          <w:b/>
          <w:sz w:val="52"/>
          <w:szCs w:val="52"/>
        </w:rPr>
      </w:pPr>
    </w:p>
    <w:p w14:paraId="63E1EA2F" w14:textId="77777777" w:rsidR="0098635A" w:rsidRDefault="0098635A" w:rsidP="00BD08D4">
      <w:pPr>
        <w:jc w:val="center"/>
        <w:rPr>
          <w:rFonts w:ascii="Arial" w:hAnsi="Arial" w:cs="Arial"/>
          <w:b/>
          <w:sz w:val="52"/>
          <w:szCs w:val="52"/>
        </w:rPr>
      </w:pPr>
    </w:p>
    <w:p w14:paraId="32BA814B" w14:textId="77777777" w:rsidR="0098635A" w:rsidRDefault="0098635A" w:rsidP="00BD08D4">
      <w:pPr>
        <w:jc w:val="center"/>
        <w:rPr>
          <w:rFonts w:ascii="Arial" w:hAnsi="Arial" w:cs="Arial"/>
          <w:b/>
          <w:sz w:val="52"/>
          <w:szCs w:val="52"/>
        </w:rPr>
      </w:pPr>
    </w:p>
    <w:p w14:paraId="4657B62C" w14:textId="77777777" w:rsidR="0098635A" w:rsidRDefault="0098635A" w:rsidP="00BD08D4">
      <w:pPr>
        <w:jc w:val="center"/>
        <w:rPr>
          <w:rFonts w:ascii="Arial" w:hAnsi="Arial" w:cs="Arial"/>
          <w:b/>
          <w:sz w:val="52"/>
          <w:szCs w:val="52"/>
        </w:rPr>
      </w:pPr>
    </w:p>
    <w:p w14:paraId="17F3FDB6" w14:textId="77777777" w:rsidR="0098635A" w:rsidRDefault="0098635A" w:rsidP="00BD08D4">
      <w:pPr>
        <w:jc w:val="center"/>
        <w:rPr>
          <w:rFonts w:ascii="Arial" w:hAnsi="Arial" w:cs="Arial"/>
          <w:b/>
          <w:sz w:val="52"/>
          <w:szCs w:val="52"/>
        </w:rPr>
      </w:pPr>
    </w:p>
    <w:p w14:paraId="6EF5FA22" w14:textId="2DF4808A" w:rsidR="000323EA" w:rsidRDefault="00941C44" w:rsidP="00BD08D4">
      <w:pPr>
        <w:jc w:val="center"/>
        <w:rPr>
          <w:rFonts w:ascii="Arial" w:hAnsi="Arial" w:cs="Arial"/>
          <w:b/>
          <w:sz w:val="52"/>
          <w:szCs w:val="52"/>
        </w:rPr>
      </w:pPr>
      <w:r w:rsidRPr="00F31768">
        <w:rPr>
          <w:rFonts w:ascii="Arial" w:hAnsi="Arial" w:cs="Arial"/>
          <w:b/>
          <w:sz w:val="52"/>
          <w:szCs w:val="52"/>
        </w:rPr>
        <w:t>Alachua County</w:t>
      </w:r>
      <w:r w:rsidR="00BD08D4" w:rsidRPr="00464C75">
        <w:rPr>
          <w:rFonts w:ascii="Arial" w:hAnsi="Arial" w:cs="Arial"/>
          <w:b/>
          <w:sz w:val="52"/>
          <w:szCs w:val="52"/>
        </w:rPr>
        <w:t xml:space="preserve"> </w:t>
      </w:r>
    </w:p>
    <w:p w14:paraId="16CB675B" w14:textId="76DF48BA" w:rsidR="0007601B" w:rsidRPr="00F31768" w:rsidRDefault="2422AAB3" w:rsidP="00BD08D4">
      <w:pPr>
        <w:jc w:val="center"/>
        <w:rPr>
          <w:rFonts w:ascii="Arial" w:hAnsi="Arial" w:cs="Arial"/>
          <w:b/>
          <w:sz w:val="52"/>
          <w:szCs w:val="52"/>
        </w:rPr>
      </w:pPr>
      <w:r w:rsidRPr="00464C75">
        <w:rPr>
          <w:rFonts w:ascii="Arial" w:hAnsi="Arial" w:cs="Arial"/>
          <w:b/>
          <w:sz w:val="52"/>
          <w:szCs w:val="52"/>
        </w:rPr>
        <w:t>Central Receiving System</w:t>
      </w:r>
    </w:p>
    <w:p w14:paraId="273755CE" w14:textId="043CC22F" w:rsidR="00B90454" w:rsidRDefault="00B90454" w:rsidP="00236E54">
      <w:pPr>
        <w:rPr>
          <w:sz w:val="52"/>
          <w:szCs w:val="52"/>
        </w:rPr>
      </w:pPr>
    </w:p>
    <w:p w14:paraId="10E393E9" w14:textId="6D89E036" w:rsidR="00B90454" w:rsidRDefault="00B90454" w:rsidP="00236E54">
      <w:pPr>
        <w:rPr>
          <w:sz w:val="52"/>
          <w:szCs w:val="52"/>
        </w:rPr>
      </w:pPr>
    </w:p>
    <w:p w14:paraId="58843392" w14:textId="62BB58A8" w:rsidR="000323EA" w:rsidRDefault="000323EA" w:rsidP="00236E54">
      <w:pPr>
        <w:rPr>
          <w:sz w:val="52"/>
          <w:szCs w:val="52"/>
        </w:rPr>
      </w:pPr>
    </w:p>
    <w:p w14:paraId="4844FF18" w14:textId="19FB224C" w:rsidR="000323EA" w:rsidRDefault="000323EA" w:rsidP="00236E54">
      <w:pPr>
        <w:rPr>
          <w:sz w:val="52"/>
          <w:szCs w:val="52"/>
        </w:rPr>
      </w:pPr>
    </w:p>
    <w:p w14:paraId="2A76A1DD" w14:textId="77777777" w:rsidR="000323EA" w:rsidRDefault="000323EA" w:rsidP="00236E54">
      <w:pPr>
        <w:rPr>
          <w:sz w:val="52"/>
          <w:szCs w:val="52"/>
        </w:rPr>
      </w:pPr>
    </w:p>
    <w:p w14:paraId="623A170A" w14:textId="77777777" w:rsidR="00CC72FB" w:rsidRPr="00DA7ACA" w:rsidRDefault="00CC72FB" w:rsidP="00CC72FB">
      <w:pPr>
        <w:jc w:val="center"/>
        <w:rPr>
          <w:rFonts w:ascii="Arial" w:hAnsi="Arial" w:cs="Arial"/>
          <w:b/>
          <w:bCs/>
          <w:color w:val="000000" w:themeColor="text1"/>
          <w:sz w:val="48"/>
          <w:szCs w:val="52"/>
        </w:rPr>
      </w:pPr>
      <w:r w:rsidRPr="00DA7ACA">
        <w:rPr>
          <w:rFonts w:ascii="Arial" w:hAnsi="Arial" w:cs="Arial"/>
          <w:b/>
          <w:bCs/>
          <w:color w:val="000000" w:themeColor="text1"/>
          <w:sz w:val="48"/>
          <w:szCs w:val="52"/>
        </w:rPr>
        <w:t>State and Local Fiscal Recovery Funds</w:t>
      </w:r>
    </w:p>
    <w:p w14:paraId="6992BE23" w14:textId="0A319E8F" w:rsidR="00CC72FB" w:rsidRPr="00DA7ACA" w:rsidRDefault="00CC72FB" w:rsidP="00CC72FB">
      <w:pPr>
        <w:jc w:val="center"/>
        <w:rPr>
          <w:rFonts w:ascii="Arial" w:hAnsi="Arial" w:cs="Arial"/>
          <w:color w:val="000000" w:themeColor="text1"/>
          <w:sz w:val="52"/>
          <w:szCs w:val="52"/>
        </w:rPr>
      </w:pPr>
      <w:r w:rsidRPr="00DA7ACA">
        <w:rPr>
          <w:rFonts w:ascii="Arial" w:hAnsi="Arial" w:cs="Arial"/>
          <w:color w:val="000000" w:themeColor="text1"/>
          <w:sz w:val="52"/>
          <w:szCs w:val="52"/>
        </w:rPr>
        <w:t>2022 Report</w:t>
      </w:r>
    </w:p>
    <w:sdt>
      <w:sdtPr>
        <w:rPr>
          <w:rFonts w:ascii="Arial" w:eastAsiaTheme="minorEastAsia" w:hAnsi="Arial" w:cs="Arial"/>
          <w:b/>
          <w:bCs/>
          <w:color w:val="000000" w:themeColor="text1"/>
          <w:sz w:val="22"/>
          <w:szCs w:val="22"/>
        </w:rPr>
        <w:id w:val="-212729770"/>
        <w:docPartObj>
          <w:docPartGallery w:val="Table of Contents"/>
          <w:docPartUnique/>
        </w:docPartObj>
      </w:sdtPr>
      <w:sdtEndPr>
        <w:rPr>
          <w:rFonts w:ascii="Arial Narrow" w:eastAsiaTheme="majorEastAsia" w:hAnsi="Arial Narrow" w:cstheme="majorBidi"/>
          <w:b w:val="0"/>
          <w:bCs w:val="0"/>
          <w:color w:val="2F5496" w:themeColor="accent1" w:themeShade="BF"/>
          <w:sz w:val="32"/>
          <w:szCs w:val="32"/>
        </w:rPr>
      </w:sdtEndPr>
      <w:sdtContent>
        <w:sdt>
          <w:sdtPr>
            <w:rPr>
              <w:rFonts w:asciiTheme="minorHAnsi" w:eastAsiaTheme="minorEastAsia" w:hAnsiTheme="minorHAnsi" w:cstheme="minorHAnsi"/>
              <w:b/>
              <w:bCs/>
              <w:color w:val="000000" w:themeColor="text1"/>
              <w:sz w:val="22"/>
              <w:szCs w:val="22"/>
            </w:rPr>
            <w:id w:val="1756399097"/>
            <w:docPartObj>
              <w:docPartGallery w:val="Table of Contents"/>
              <w:docPartUnique/>
            </w:docPartObj>
          </w:sdtPr>
          <w:sdtEndPr/>
          <w:sdtContent>
            <w:p w14:paraId="01BDF323" w14:textId="77777777" w:rsidR="005B4140" w:rsidRPr="00965F7E" w:rsidRDefault="005B4140" w:rsidP="00965F7E">
              <w:pPr>
                <w:pStyle w:val="TOCHeading"/>
                <w:jc w:val="center"/>
                <w:rPr>
                  <w:rFonts w:asciiTheme="minorHAnsi" w:hAnsiTheme="minorHAnsi" w:cstheme="minorHAnsi"/>
                  <w:color w:val="000000" w:themeColor="text1"/>
                </w:rPr>
              </w:pPr>
              <w:r w:rsidRPr="00965F7E">
                <w:rPr>
                  <w:rFonts w:asciiTheme="minorHAnsi" w:hAnsiTheme="minorHAnsi" w:cstheme="minorHAnsi"/>
                  <w:color w:val="000000" w:themeColor="text1"/>
                </w:rPr>
                <w:t>Table of Contents</w:t>
              </w:r>
            </w:p>
            <w:p w14:paraId="6F252A81" w14:textId="77777777" w:rsidR="005B4140" w:rsidRPr="00965F7E" w:rsidRDefault="005B4140" w:rsidP="005B4140">
              <w:pPr>
                <w:rPr>
                  <w:rFonts w:cstheme="minorHAnsi"/>
                  <w:color w:val="000000" w:themeColor="text1"/>
                </w:rPr>
              </w:pPr>
            </w:p>
            <w:p w14:paraId="26673312" w14:textId="0FDD4F9D" w:rsidR="00965F7E" w:rsidRPr="00965F7E" w:rsidRDefault="00965F7E" w:rsidP="00965F7E">
              <w:pPr>
                <w:pStyle w:val="TOC2"/>
                <w:ind w:left="0"/>
                <w:rPr>
                  <w:rFonts w:cstheme="minorHAnsi"/>
                  <w:color w:val="000000" w:themeColor="text1"/>
                </w:rPr>
              </w:pPr>
              <w:r w:rsidRPr="00965F7E">
                <w:rPr>
                  <w:rFonts w:cstheme="minorHAnsi"/>
                  <w:color w:val="000000" w:themeColor="text1"/>
                </w:rPr>
                <w:t>Executive</w:t>
              </w:r>
              <w:r w:rsidR="005B4140" w:rsidRPr="00965F7E">
                <w:rPr>
                  <w:rFonts w:cstheme="minorHAnsi"/>
                  <w:color w:val="000000" w:themeColor="text1"/>
                </w:rPr>
                <w:t xml:space="preserve"> Summary</w:t>
              </w:r>
              <w:r w:rsidR="005B4140" w:rsidRPr="00965F7E">
                <w:rPr>
                  <w:rFonts w:cstheme="minorHAnsi"/>
                  <w:color w:val="000000" w:themeColor="text1"/>
                </w:rPr>
                <w:ptab w:relativeTo="margin" w:alignment="right" w:leader="dot"/>
              </w:r>
              <w:r w:rsidR="005B4140" w:rsidRPr="00965F7E">
                <w:rPr>
                  <w:rFonts w:cstheme="minorHAnsi"/>
                  <w:color w:val="000000" w:themeColor="text1"/>
                </w:rPr>
                <w:t>2</w:t>
              </w:r>
            </w:p>
            <w:p w14:paraId="03009210" w14:textId="77777777" w:rsidR="005B4140" w:rsidRPr="00965F7E" w:rsidRDefault="005B4140" w:rsidP="00965F7E">
              <w:pPr>
                <w:pStyle w:val="TOC2"/>
                <w:ind w:left="0"/>
                <w:rPr>
                  <w:rFonts w:cstheme="minorHAnsi"/>
                  <w:color w:val="000000" w:themeColor="text1"/>
                </w:rPr>
              </w:pPr>
              <w:r w:rsidRPr="00965F7E">
                <w:rPr>
                  <w:rFonts w:cstheme="minorHAnsi"/>
                  <w:color w:val="000000" w:themeColor="text1"/>
                </w:rPr>
                <w:t>Uses of Funds</w:t>
              </w:r>
              <w:r w:rsidRPr="00965F7E">
                <w:rPr>
                  <w:rFonts w:cstheme="minorHAnsi"/>
                  <w:color w:val="000000" w:themeColor="text1"/>
                </w:rPr>
                <w:ptab w:relativeTo="margin" w:alignment="right" w:leader="dot"/>
              </w:r>
              <w:r w:rsidRPr="00965F7E">
                <w:rPr>
                  <w:rFonts w:cstheme="minorHAnsi"/>
                  <w:color w:val="000000" w:themeColor="text1"/>
                </w:rPr>
                <w:t>6</w:t>
              </w:r>
            </w:p>
            <w:p w14:paraId="47F01893" w14:textId="77777777" w:rsidR="005B4140" w:rsidRPr="00965F7E" w:rsidRDefault="005B4140" w:rsidP="00965F7E">
              <w:pPr>
                <w:pStyle w:val="TOC2"/>
                <w:ind w:left="0"/>
                <w:rPr>
                  <w:rFonts w:cstheme="minorHAnsi"/>
                  <w:color w:val="000000" w:themeColor="text1"/>
                </w:rPr>
              </w:pPr>
              <w:r w:rsidRPr="00965F7E">
                <w:rPr>
                  <w:rFonts w:cstheme="minorHAnsi"/>
                  <w:color w:val="000000" w:themeColor="text1"/>
                </w:rPr>
                <w:t>Promoting Equitable Outcomes</w:t>
              </w:r>
              <w:r w:rsidRPr="00965F7E">
                <w:rPr>
                  <w:rFonts w:cstheme="minorHAnsi"/>
                  <w:color w:val="000000" w:themeColor="text1"/>
                </w:rPr>
                <w:ptab w:relativeTo="margin" w:alignment="right" w:leader="dot"/>
              </w:r>
              <w:r w:rsidRPr="00965F7E">
                <w:rPr>
                  <w:rFonts w:cstheme="minorHAnsi"/>
                  <w:color w:val="000000" w:themeColor="text1"/>
                </w:rPr>
                <w:t>7</w:t>
              </w:r>
            </w:p>
            <w:p w14:paraId="60EB920D" w14:textId="2787A419" w:rsidR="005B4140" w:rsidRPr="00965F7E" w:rsidRDefault="005B4140" w:rsidP="00965F7E">
              <w:pPr>
                <w:pStyle w:val="TOC2"/>
                <w:ind w:left="0"/>
                <w:rPr>
                  <w:rFonts w:cstheme="minorHAnsi"/>
                  <w:color w:val="000000" w:themeColor="text1"/>
                </w:rPr>
              </w:pPr>
              <w:r w:rsidRPr="00965F7E">
                <w:rPr>
                  <w:rFonts w:cstheme="minorHAnsi"/>
                  <w:color w:val="000000" w:themeColor="text1"/>
                </w:rPr>
                <w:t>Community Engagement</w:t>
              </w:r>
              <w:r w:rsidRPr="00965F7E">
                <w:rPr>
                  <w:rFonts w:cstheme="minorHAnsi"/>
                  <w:color w:val="000000" w:themeColor="text1"/>
                </w:rPr>
                <w:ptab w:relativeTo="margin" w:alignment="right" w:leader="dot"/>
              </w:r>
              <w:r w:rsidR="00965F7E" w:rsidRPr="00965F7E">
                <w:rPr>
                  <w:rFonts w:cstheme="minorHAnsi"/>
                  <w:color w:val="000000" w:themeColor="text1"/>
                </w:rPr>
                <w:t>10</w:t>
              </w:r>
            </w:p>
            <w:p w14:paraId="484ED49D" w14:textId="3077658C" w:rsidR="005B4140" w:rsidRPr="00965F7E" w:rsidRDefault="005B4140" w:rsidP="00965F7E">
              <w:pPr>
                <w:pStyle w:val="TOC2"/>
                <w:ind w:left="0"/>
                <w:rPr>
                  <w:rFonts w:cstheme="minorHAnsi"/>
                  <w:color w:val="000000" w:themeColor="text1"/>
                </w:rPr>
              </w:pPr>
              <w:r w:rsidRPr="00965F7E">
                <w:rPr>
                  <w:rFonts w:cstheme="minorHAnsi"/>
                  <w:color w:val="000000" w:themeColor="text1"/>
                </w:rPr>
                <w:t>Labor Practices</w:t>
              </w:r>
              <w:r w:rsidRPr="00965F7E">
                <w:rPr>
                  <w:rFonts w:cstheme="minorHAnsi"/>
                  <w:color w:val="000000" w:themeColor="text1"/>
                </w:rPr>
                <w:ptab w:relativeTo="margin" w:alignment="right" w:leader="dot"/>
              </w:r>
              <w:r w:rsidR="00965F7E" w:rsidRPr="00965F7E">
                <w:rPr>
                  <w:rFonts w:cstheme="minorHAnsi"/>
                  <w:color w:val="000000" w:themeColor="text1"/>
                </w:rPr>
                <w:t>11</w:t>
              </w:r>
            </w:p>
            <w:p w14:paraId="133F675A" w14:textId="3CB4393F" w:rsidR="005B4140" w:rsidRPr="00965F7E" w:rsidRDefault="005B4140" w:rsidP="00965F7E">
              <w:pPr>
                <w:pStyle w:val="TOC2"/>
                <w:ind w:left="0"/>
                <w:rPr>
                  <w:rFonts w:cstheme="minorHAnsi"/>
                  <w:color w:val="000000" w:themeColor="text1"/>
                </w:rPr>
              </w:pPr>
              <w:r w:rsidRPr="00965F7E">
                <w:rPr>
                  <w:rFonts w:cstheme="minorHAnsi"/>
                  <w:color w:val="000000" w:themeColor="text1"/>
                </w:rPr>
                <w:t>Use of Evidence</w:t>
              </w:r>
              <w:r w:rsidRPr="00965F7E">
                <w:rPr>
                  <w:rFonts w:cstheme="minorHAnsi"/>
                  <w:color w:val="000000" w:themeColor="text1"/>
                </w:rPr>
                <w:ptab w:relativeTo="margin" w:alignment="right" w:leader="dot"/>
              </w:r>
              <w:r w:rsidR="00965F7E" w:rsidRPr="00965F7E">
                <w:rPr>
                  <w:rFonts w:cstheme="minorHAnsi"/>
                  <w:color w:val="000000" w:themeColor="text1"/>
                </w:rPr>
                <w:t>11</w:t>
              </w:r>
            </w:p>
            <w:p w14:paraId="1A47C725" w14:textId="489219AA" w:rsidR="005B4140" w:rsidRPr="00965F7E" w:rsidRDefault="005B4140" w:rsidP="00965F7E">
              <w:pPr>
                <w:pStyle w:val="TOC2"/>
                <w:ind w:left="0"/>
                <w:rPr>
                  <w:rFonts w:cstheme="minorHAnsi"/>
                  <w:color w:val="000000" w:themeColor="text1"/>
                </w:rPr>
              </w:pPr>
              <w:r w:rsidRPr="00965F7E">
                <w:rPr>
                  <w:rFonts w:cstheme="minorHAnsi"/>
                  <w:color w:val="000000" w:themeColor="text1"/>
                </w:rPr>
                <w:t>Table of Expenses by Expenditure Category</w:t>
              </w:r>
              <w:r w:rsidRPr="00965F7E">
                <w:rPr>
                  <w:rFonts w:cstheme="minorHAnsi"/>
                  <w:color w:val="000000" w:themeColor="text1"/>
                </w:rPr>
                <w:ptab w:relativeTo="margin" w:alignment="right" w:leader="dot"/>
              </w:r>
              <w:r w:rsidRPr="00965F7E">
                <w:rPr>
                  <w:rFonts w:cstheme="minorHAnsi"/>
                  <w:color w:val="000000" w:themeColor="text1"/>
                </w:rPr>
                <w:t>1</w:t>
              </w:r>
              <w:r w:rsidR="00965F7E" w:rsidRPr="00965F7E">
                <w:rPr>
                  <w:rFonts w:cstheme="minorHAnsi"/>
                  <w:color w:val="000000" w:themeColor="text1"/>
                </w:rPr>
                <w:t>3</w:t>
              </w:r>
            </w:p>
            <w:p w14:paraId="4EAF8AAB" w14:textId="1EE022ED" w:rsidR="005B4140" w:rsidRPr="00965F7E" w:rsidRDefault="005B4140" w:rsidP="00993BDB">
              <w:pPr>
                <w:pStyle w:val="TOC1"/>
                <w:rPr>
                  <w:rFonts w:cstheme="minorHAnsi"/>
                  <w:b w:val="0"/>
                  <w:bCs w:val="0"/>
                  <w:color w:val="000000" w:themeColor="text1"/>
                </w:rPr>
              </w:pPr>
              <w:r w:rsidRPr="00965F7E">
                <w:rPr>
                  <w:rFonts w:cstheme="minorHAnsi"/>
                  <w:b w:val="0"/>
                  <w:bCs w:val="0"/>
                  <w:color w:val="000000" w:themeColor="text1"/>
                </w:rPr>
                <w:t>Project Inventory</w:t>
              </w:r>
              <w:r w:rsidRPr="00965F7E">
                <w:rPr>
                  <w:rFonts w:cstheme="minorHAnsi"/>
                  <w:b w:val="0"/>
                  <w:bCs w:val="0"/>
                  <w:color w:val="000000" w:themeColor="text1"/>
                </w:rPr>
                <w:ptab w:relativeTo="margin" w:alignment="right" w:leader="dot"/>
              </w:r>
              <w:r w:rsidR="00965F7E" w:rsidRPr="00965F7E">
                <w:rPr>
                  <w:rFonts w:cstheme="minorHAnsi"/>
                  <w:b w:val="0"/>
                  <w:bCs w:val="0"/>
                  <w:color w:val="000000" w:themeColor="text1"/>
                </w:rPr>
                <w:t>13</w:t>
              </w:r>
            </w:p>
            <w:p w14:paraId="1377A3A7" w14:textId="3BF922A4" w:rsidR="005B4140" w:rsidRPr="00965F7E" w:rsidRDefault="00DA7ACA" w:rsidP="00993BDB">
              <w:pPr>
                <w:pStyle w:val="TOC1"/>
                <w:rPr>
                  <w:rFonts w:cstheme="minorHAnsi"/>
                  <w:b w:val="0"/>
                  <w:bCs w:val="0"/>
                  <w:color w:val="000000" w:themeColor="text1"/>
                </w:rPr>
              </w:pPr>
              <w:r w:rsidRPr="00965F7E">
                <w:rPr>
                  <w:rFonts w:cstheme="minorHAnsi"/>
                  <w:b w:val="0"/>
                  <w:bCs w:val="0"/>
                  <w:color w:val="000000" w:themeColor="text1"/>
                </w:rPr>
                <w:t>Performance</w:t>
              </w:r>
              <w:r w:rsidR="005B4140" w:rsidRPr="00965F7E">
                <w:rPr>
                  <w:rFonts w:cstheme="minorHAnsi"/>
                  <w:b w:val="0"/>
                  <w:bCs w:val="0"/>
                  <w:color w:val="000000" w:themeColor="text1"/>
                </w:rPr>
                <w:t xml:space="preserve"> Report</w:t>
              </w:r>
              <w:r w:rsidR="005B4140" w:rsidRPr="00965F7E">
                <w:rPr>
                  <w:rFonts w:cstheme="minorHAnsi"/>
                  <w:b w:val="0"/>
                  <w:bCs w:val="0"/>
                  <w:color w:val="000000" w:themeColor="text1"/>
                </w:rPr>
                <w:ptab w:relativeTo="margin" w:alignment="right" w:leader="dot"/>
              </w:r>
              <w:r w:rsidR="005B4140" w:rsidRPr="00965F7E">
                <w:rPr>
                  <w:rFonts w:cstheme="minorHAnsi"/>
                  <w:b w:val="0"/>
                  <w:bCs w:val="0"/>
                  <w:color w:val="000000" w:themeColor="text1"/>
                </w:rPr>
                <w:t>1</w:t>
              </w:r>
              <w:r w:rsidR="00965F7E" w:rsidRPr="00965F7E">
                <w:rPr>
                  <w:rFonts w:cstheme="minorHAnsi"/>
                  <w:b w:val="0"/>
                  <w:bCs w:val="0"/>
                  <w:color w:val="000000" w:themeColor="text1"/>
                </w:rPr>
                <w:t>4</w:t>
              </w:r>
            </w:p>
            <w:p w14:paraId="4EC21AE9" w14:textId="6609C307" w:rsidR="005B4140" w:rsidRPr="00965F7E" w:rsidRDefault="005B4140" w:rsidP="00993BDB">
              <w:pPr>
                <w:pStyle w:val="TOC1"/>
                <w:rPr>
                  <w:rFonts w:cstheme="minorHAnsi"/>
                  <w:b w:val="0"/>
                  <w:bCs w:val="0"/>
                  <w:color w:val="000000" w:themeColor="text1"/>
                </w:rPr>
              </w:pPr>
              <w:r w:rsidRPr="00965F7E">
                <w:rPr>
                  <w:rFonts w:cstheme="minorHAnsi"/>
                  <w:b w:val="0"/>
                  <w:bCs w:val="0"/>
                  <w:color w:val="000000" w:themeColor="text1"/>
                </w:rPr>
                <w:t xml:space="preserve">Required Performance Indicators and Programmatic Data </w:t>
              </w:r>
              <w:r w:rsidRPr="00965F7E">
                <w:rPr>
                  <w:rFonts w:cstheme="minorHAnsi"/>
                  <w:b w:val="0"/>
                  <w:bCs w:val="0"/>
                  <w:color w:val="000000" w:themeColor="text1"/>
                </w:rPr>
                <w:ptab w:relativeTo="margin" w:alignment="right" w:leader="dot"/>
              </w:r>
              <w:r w:rsidRPr="00965F7E">
                <w:rPr>
                  <w:rFonts w:cstheme="minorHAnsi"/>
                  <w:b w:val="0"/>
                  <w:bCs w:val="0"/>
                  <w:color w:val="000000" w:themeColor="text1"/>
                </w:rPr>
                <w:t>1</w:t>
              </w:r>
              <w:r w:rsidR="00965F7E" w:rsidRPr="00965F7E">
                <w:rPr>
                  <w:rFonts w:cstheme="minorHAnsi"/>
                  <w:b w:val="0"/>
                  <w:bCs w:val="0"/>
                  <w:color w:val="000000" w:themeColor="text1"/>
                </w:rPr>
                <w:t>5</w:t>
              </w:r>
            </w:p>
            <w:p w14:paraId="1AE81335" w14:textId="59DCF162" w:rsidR="005B4140" w:rsidRPr="00965F7E" w:rsidRDefault="005B4140" w:rsidP="00993BDB">
              <w:pPr>
                <w:pStyle w:val="TOC1"/>
                <w:rPr>
                  <w:rFonts w:eastAsiaTheme="minorHAnsi" w:cstheme="minorHAnsi"/>
                  <w:b w:val="0"/>
                  <w:bCs w:val="0"/>
                  <w:color w:val="000000" w:themeColor="text1"/>
                </w:rPr>
              </w:pPr>
              <w:r w:rsidRPr="00965F7E">
                <w:rPr>
                  <w:rFonts w:cstheme="minorHAnsi"/>
                  <w:b w:val="0"/>
                  <w:bCs w:val="0"/>
                  <w:color w:val="000000" w:themeColor="text1"/>
                </w:rPr>
                <w:t xml:space="preserve">Ineligible Activities: Tax Offset Provision </w:t>
              </w:r>
              <w:r w:rsidRPr="00965F7E">
                <w:rPr>
                  <w:rFonts w:cstheme="minorHAnsi"/>
                  <w:b w:val="0"/>
                  <w:bCs w:val="0"/>
                  <w:color w:val="000000" w:themeColor="text1"/>
                </w:rPr>
                <w:ptab w:relativeTo="margin" w:alignment="right" w:leader="dot"/>
              </w:r>
              <w:r w:rsidRPr="00965F7E">
                <w:rPr>
                  <w:rFonts w:cstheme="minorHAnsi"/>
                  <w:b w:val="0"/>
                  <w:bCs w:val="0"/>
                  <w:color w:val="000000" w:themeColor="text1"/>
                </w:rPr>
                <w:t>1</w:t>
              </w:r>
              <w:r w:rsidR="00AF6518">
                <w:rPr>
                  <w:rFonts w:cstheme="minorHAnsi"/>
                  <w:b w:val="0"/>
                  <w:bCs w:val="0"/>
                  <w:color w:val="000000" w:themeColor="text1"/>
                </w:rPr>
                <w:t>6</w:t>
              </w:r>
            </w:p>
          </w:sdtContent>
        </w:sdt>
        <w:p w14:paraId="76DAADA9" w14:textId="27658E65" w:rsidR="00296209" w:rsidRPr="000A1EC0" w:rsidRDefault="00480CDE" w:rsidP="005B4140">
          <w:pPr>
            <w:pStyle w:val="TOCHeading"/>
            <w:rPr>
              <w:rFonts w:ascii="Arial Narrow" w:hAnsi="Arial Narrow"/>
            </w:rPr>
          </w:pPr>
        </w:p>
      </w:sdtContent>
    </w:sdt>
    <w:p w14:paraId="2EED56A2" w14:textId="095203AA" w:rsidR="006109BE" w:rsidRDefault="0068053D" w:rsidP="00464C75">
      <w:pPr>
        <w:jc w:val="both"/>
        <w:rPr>
          <w:rFonts w:ascii="Arial" w:hAnsi="Arial" w:cs="Arial"/>
          <w:b/>
        </w:rPr>
      </w:pPr>
      <w:r w:rsidRPr="000A1EC0">
        <w:rPr>
          <w:rFonts w:ascii="Arial Narrow" w:hAnsi="Arial Narrow" w:cs="Arial"/>
          <w:color w:val="44546A" w:themeColor="text2"/>
        </w:rPr>
        <w:br w:type="page"/>
      </w:r>
    </w:p>
    <w:p w14:paraId="08797339" w14:textId="41888F46" w:rsidR="00E323F2" w:rsidRPr="00835E26" w:rsidRDefault="001E5F72" w:rsidP="001921E7">
      <w:pPr>
        <w:tabs>
          <w:tab w:val="left" w:pos="7050"/>
        </w:tabs>
        <w:jc w:val="both"/>
        <w:rPr>
          <w:rFonts w:ascii="Arial" w:hAnsi="Arial" w:cs="Arial"/>
          <w:b/>
        </w:rPr>
      </w:pPr>
      <w:r w:rsidRPr="00285473">
        <w:rPr>
          <w:rFonts w:ascii="Arial" w:hAnsi="Arial" w:cs="Arial"/>
          <w:b/>
        </w:rPr>
        <w:lastRenderedPageBreak/>
        <w:t xml:space="preserve">Executive Summary </w:t>
      </w:r>
    </w:p>
    <w:p w14:paraId="74947C58" w14:textId="1FAC7BE5" w:rsidR="009453F6" w:rsidRPr="00BD08D4" w:rsidRDefault="009453F6" w:rsidP="001921E7">
      <w:pPr>
        <w:jc w:val="both"/>
        <w:rPr>
          <w:rFonts w:ascii="Arial" w:hAnsi="Arial" w:cs="Arial"/>
        </w:rPr>
      </w:pPr>
      <w:r w:rsidRPr="12CB56F0">
        <w:rPr>
          <w:rFonts w:ascii="Arial" w:hAnsi="Arial" w:cs="Arial"/>
        </w:rPr>
        <w:t xml:space="preserve">Alachua County has requested </w:t>
      </w:r>
      <w:r w:rsidRPr="00464C75">
        <w:rPr>
          <w:rFonts w:ascii="Arial" w:hAnsi="Arial" w:cs="Arial"/>
          <w:bCs/>
        </w:rPr>
        <w:t>a total of $1.</w:t>
      </w:r>
      <w:r w:rsidR="00993BDB" w:rsidRPr="00464C75">
        <w:rPr>
          <w:rFonts w:ascii="Arial" w:hAnsi="Arial" w:cs="Arial"/>
          <w:bCs/>
        </w:rPr>
        <w:t>7</w:t>
      </w:r>
      <w:r w:rsidRPr="00464C75">
        <w:rPr>
          <w:rFonts w:ascii="Arial" w:hAnsi="Arial" w:cs="Arial"/>
          <w:bCs/>
        </w:rPr>
        <w:t>5 million in American Rescue Plan funds</w:t>
      </w:r>
      <w:r w:rsidRPr="12CB56F0">
        <w:rPr>
          <w:rFonts w:ascii="Arial" w:hAnsi="Arial" w:cs="Arial"/>
        </w:rPr>
        <w:t xml:space="preserve"> via the Coronavirus State and Local Fiscal Recovery Funds in order to develop and implement a Central Receiving </w:t>
      </w:r>
      <w:r w:rsidR="00C32089" w:rsidRPr="12CB56F0">
        <w:rPr>
          <w:rFonts w:ascii="Arial" w:hAnsi="Arial" w:cs="Arial"/>
        </w:rPr>
        <w:t xml:space="preserve">System </w:t>
      </w:r>
      <w:r w:rsidRPr="12CB56F0">
        <w:rPr>
          <w:rFonts w:ascii="Arial" w:hAnsi="Arial" w:cs="Arial"/>
        </w:rPr>
        <w:t>(CR</w:t>
      </w:r>
      <w:r w:rsidR="00C32089" w:rsidRPr="12CB56F0">
        <w:rPr>
          <w:rFonts w:ascii="Arial" w:hAnsi="Arial" w:cs="Arial"/>
        </w:rPr>
        <w:t>S</w:t>
      </w:r>
      <w:r w:rsidRPr="12CB56F0">
        <w:rPr>
          <w:rFonts w:ascii="Arial" w:hAnsi="Arial" w:cs="Arial"/>
        </w:rPr>
        <w:t xml:space="preserve">) </w:t>
      </w:r>
      <w:r w:rsidR="006109BE">
        <w:rPr>
          <w:rFonts w:ascii="Arial" w:hAnsi="Arial" w:cs="Arial"/>
        </w:rPr>
        <w:t>in response to the COVID pandemic</w:t>
      </w:r>
      <w:r w:rsidR="007F58C1">
        <w:rPr>
          <w:rFonts w:ascii="Arial" w:hAnsi="Arial" w:cs="Arial"/>
        </w:rPr>
        <w:t xml:space="preserve"> and other emerging needs</w:t>
      </w:r>
      <w:r w:rsidR="006109BE">
        <w:rPr>
          <w:rFonts w:ascii="Arial" w:hAnsi="Arial" w:cs="Arial"/>
        </w:rPr>
        <w:t xml:space="preserve">, </w:t>
      </w:r>
      <w:r w:rsidRPr="12CB56F0">
        <w:rPr>
          <w:rFonts w:ascii="Arial" w:hAnsi="Arial" w:cs="Arial"/>
        </w:rPr>
        <w:t xml:space="preserve">to provide Behavioral Health services in </w:t>
      </w:r>
      <w:r w:rsidR="007F58C1">
        <w:rPr>
          <w:rFonts w:ascii="Arial" w:hAnsi="Arial" w:cs="Arial"/>
        </w:rPr>
        <w:t xml:space="preserve">Alachua </w:t>
      </w:r>
      <w:r w:rsidRPr="12CB56F0">
        <w:rPr>
          <w:rFonts w:ascii="Arial" w:hAnsi="Arial" w:cs="Arial"/>
        </w:rPr>
        <w:t xml:space="preserve">and the surrounding region of five additional counties. </w:t>
      </w:r>
      <w:r w:rsidR="00B4669A">
        <w:rPr>
          <w:rFonts w:ascii="Arial" w:hAnsi="Arial" w:cs="Arial"/>
        </w:rPr>
        <w:t xml:space="preserve"> Prior to the onset of the pandemic, the need for mental health and substance abuse services was increasing </w:t>
      </w:r>
      <w:r w:rsidR="00D7713C">
        <w:rPr>
          <w:rFonts w:ascii="Arial" w:hAnsi="Arial" w:cs="Arial"/>
        </w:rPr>
        <w:t>and, in many cases,</w:t>
      </w:r>
      <w:r w:rsidR="00B4669A">
        <w:rPr>
          <w:rFonts w:ascii="Arial" w:hAnsi="Arial" w:cs="Arial"/>
        </w:rPr>
        <w:t xml:space="preserve"> exceeding system capacity.  During the past two years of the pandemic, the need for services has further increased generally due to the stressors of Covid including health concerns, unemployment</w:t>
      </w:r>
      <w:r w:rsidR="002704EB">
        <w:rPr>
          <w:rFonts w:ascii="Arial" w:hAnsi="Arial" w:cs="Arial"/>
        </w:rPr>
        <w:t xml:space="preserve"> and loss of income, loss of life of family members</w:t>
      </w:r>
      <w:r w:rsidR="00B4669A">
        <w:rPr>
          <w:rFonts w:ascii="Arial" w:hAnsi="Arial" w:cs="Arial"/>
        </w:rPr>
        <w:t>,</w:t>
      </w:r>
      <w:r w:rsidR="002704EB">
        <w:rPr>
          <w:rFonts w:ascii="Arial" w:hAnsi="Arial" w:cs="Arial"/>
        </w:rPr>
        <w:t xml:space="preserve"> and social distancing</w:t>
      </w:r>
      <w:r w:rsidR="002704EB" w:rsidRPr="00480CDE">
        <w:rPr>
          <w:rFonts w:ascii="Arial" w:hAnsi="Arial" w:cs="Arial"/>
        </w:rPr>
        <w:t>.</w:t>
      </w:r>
      <w:r w:rsidR="00435045" w:rsidRPr="00480CDE">
        <w:rPr>
          <w:rFonts w:ascii="Arial" w:hAnsi="Arial" w:cs="Arial"/>
        </w:rPr>
        <w:t xml:space="preserve"> </w:t>
      </w:r>
      <w:r w:rsidR="00EB4916" w:rsidRPr="00480CDE">
        <w:rPr>
          <w:rFonts w:ascii="Arial" w:hAnsi="Arial" w:cs="Arial"/>
        </w:rPr>
        <w:t>I</w:t>
      </w:r>
      <w:r w:rsidR="00440AC1" w:rsidRPr="00480CDE">
        <w:rPr>
          <w:rFonts w:ascii="Arial" w:hAnsi="Arial" w:cs="Arial"/>
        </w:rPr>
        <w:t>ssues</w:t>
      </w:r>
      <w:r w:rsidR="00435045" w:rsidRPr="00480CDE">
        <w:rPr>
          <w:rFonts w:ascii="Arial" w:hAnsi="Arial" w:cs="Arial"/>
        </w:rPr>
        <w:t xml:space="preserve"> related to COVID are most exacerbated for</w:t>
      </w:r>
      <w:r w:rsidR="002704EB" w:rsidRPr="00480CDE">
        <w:rPr>
          <w:rFonts w:ascii="Arial" w:hAnsi="Arial" w:cs="Arial"/>
        </w:rPr>
        <w:t xml:space="preserve"> </w:t>
      </w:r>
      <w:r w:rsidR="00435045" w:rsidRPr="00480CDE">
        <w:rPr>
          <w:rFonts w:ascii="Arial" w:hAnsi="Arial" w:cs="Arial"/>
        </w:rPr>
        <w:t>people of color, low-income communities, immigrant communities, and those who are most vulnerable and face inequity in our community.</w:t>
      </w:r>
    </w:p>
    <w:p w14:paraId="03C9AADF" w14:textId="497EDA77" w:rsidR="009453F6" w:rsidRPr="00BD08D4" w:rsidRDefault="009453F6" w:rsidP="00020CB6">
      <w:pPr>
        <w:jc w:val="both"/>
        <w:rPr>
          <w:rFonts w:ascii="Arial" w:hAnsi="Arial" w:cs="Arial"/>
          <w:szCs w:val="24"/>
        </w:rPr>
      </w:pPr>
      <w:r w:rsidRPr="00BD08D4">
        <w:rPr>
          <w:rFonts w:ascii="Arial" w:hAnsi="Arial" w:cs="Arial"/>
          <w:szCs w:val="24"/>
        </w:rPr>
        <w:t>A</w:t>
      </w:r>
      <w:r w:rsidRPr="00BD08D4">
        <w:rPr>
          <w:rFonts w:ascii="Arial" w:hAnsi="Arial" w:cs="Arial"/>
          <w:b/>
          <w:szCs w:val="24"/>
        </w:rPr>
        <w:t xml:space="preserve"> </w:t>
      </w:r>
      <w:r w:rsidRPr="00BD08D4">
        <w:rPr>
          <w:rFonts w:ascii="Arial" w:hAnsi="Arial" w:cs="Arial"/>
          <w:szCs w:val="24"/>
        </w:rPr>
        <w:t xml:space="preserve">Central Receiving </w:t>
      </w:r>
      <w:r w:rsidR="00C32089">
        <w:rPr>
          <w:rFonts w:ascii="Arial" w:hAnsi="Arial" w:cs="Arial"/>
          <w:szCs w:val="24"/>
        </w:rPr>
        <w:t>System</w:t>
      </w:r>
      <w:r w:rsidR="00C32089" w:rsidRPr="00BD08D4">
        <w:rPr>
          <w:rFonts w:ascii="Arial" w:hAnsi="Arial" w:cs="Arial"/>
          <w:szCs w:val="24"/>
        </w:rPr>
        <w:t xml:space="preserve"> </w:t>
      </w:r>
      <w:r w:rsidRPr="00BD08D4">
        <w:rPr>
          <w:rFonts w:ascii="Arial" w:hAnsi="Arial" w:cs="Arial"/>
          <w:szCs w:val="24"/>
        </w:rPr>
        <w:t>(</w:t>
      </w:r>
      <w:r w:rsidR="0002440A">
        <w:rPr>
          <w:rFonts w:ascii="Arial" w:hAnsi="Arial" w:cs="Arial"/>
          <w:szCs w:val="24"/>
        </w:rPr>
        <w:t>CRS</w:t>
      </w:r>
      <w:r w:rsidRPr="00BD08D4">
        <w:rPr>
          <w:rFonts w:ascii="Arial" w:hAnsi="Arial" w:cs="Arial"/>
          <w:szCs w:val="24"/>
        </w:rPr>
        <w:t xml:space="preserve">) provides a single point of entry into the Behavioral Health system for assessment and appropriate placement of adults </w:t>
      </w:r>
      <w:r w:rsidR="00310255">
        <w:rPr>
          <w:rFonts w:ascii="Arial" w:hAnsi="Arial" w:cs="Arial"/>
          <w:szCs w:val="24"/>
        </w:rPr>
        <w:t xml:space="preserve">and children </w:t>
      </w:r>
      <w:r w:rsidR="002704EB">
        <w:rPr>
          <w:rFonts w:ascii="Arial" w:hAnsi="Arial" w:cs="Arial"/>
          <w:szCs w:val="24"/>
        </w:rPr>
        <w:t>in need of crisis services. This includes individuals in need of b</w:t>
      </w:r>
      <w:r w:rsidR="002704EB" w:rsidRPr="002704EB">
        <w:rPr>
          <w:rFonts w:ascii="Arial" w:hAnsi="Arial" w:cs="Arial"/>
          <w:szCs w:val="24"/>
        </w:rPr>
        <w:t xml:space="preserve">rief intervention services </w:t>
      </w:r>
      <w:r w:rsidR="002704EB">
        <w:rPr>
          <w:rFonts w:ascii="Arial" w:hAnsi="Arial" w:cs="Arial"/>
          <w:szCs w:val="24"/>
        </w:rPr>
        <w:t xml:space="preserve">for those </w:t>
      </w:r>
      <w:r w:rsidR="002704EB" w:rsidRPr="002704EB">
        <w:rPr>
          <w:rFonts w:ascii="Arial" w:hAnsi="Arial" w:cs="Arial"/>
          <w:szCs w:val="24"/>
        </w:rPr>
        <w:t>experiencing an acute mental or emotional crisis</w:t>
      </w:r>
      <w:r w:rsidR="00020CB6">
        <w:rPr>
          <w:rFonts w:ascii="Arial" w:hAnsi="Arial" w:cs="Arial"/>
          <w:szCs w:val="24"/>
        </w:rPr>
        <w:t>.  In the State of Florida, t</w:t>
      </w:r>
      <w:r w:rsidRPr="00BD08D4">
        <w:rPr>
          <w:rFonts w:ascii="Arial" w:hAnsi="Arial" w:cs="Arial"/>
          <w:szCs w:val="24"/>
        </w:rPr>
        <w:t xml:space="preserve">he Baker Act provides for involuntary commitment of an individual experiencing a </w:t>
      </w:r>
      <w:r w:rsidR="00020CB6">
        <w:rPr>
          <w:rFonts w:ascii="Arial" w:hAnsi="Arial" w:cs="Arial"/>
          <w:szCs w:val="24"/>
        </w:rPr>
        <w:t>m</w:t>
      </w:r>
      <w:r w:rsidRPr="00BD08D4">
        <w:rPr>
          <w:rFonts w:ascii="Arial" w:hAnsi="Arial" w:cs="Arial"/>
          <w:szCs w:val="24"/>
        </w:rPr>
        <w:t xml:space="preserve">ental </w:t>
      </w:r>
      <w:r w:rsidR="00020CB6">
        <w:rPr>
          <w:rFonts w:ascii="Arial" w:hAnsi="Arial" w:cs="Arial"/>
          <w:szCs w:val="24"/>
        </w:rPr>
        <w:t>h</w:t>
      </w:r>
      <w:r w:rsidRPr="00BD08D4">
        <w:rPr>
          <w:rFonts w:ascii="Arial" w:hAnsi="Arial" w:cs="Arial"/>
          <w:szCs w:val="24"/>
        </w:rPr>
        <w:t xml:space="preserve">ealth crisis (F.S. 394) </w:t>
      </w:r>
      <w:r w:rsidR="007F58C1">
        <w:rPr>
          <w:rFonts w:ascii="Arial" w:hAnsi="Arial" w:cs="Arial"/>
          <w:szCs w:val="24"/>
        </w:rPr>
        <w:t>who</w:t>
      </w:r>
      <w:r w:rsidRPr="00BD08D4">
        <w:rPr>
          <w:rFonts w:ascii="Arial" w:hAnsi="Arial" w:cs="Arial"/>
          <w:szCs w:val="24"/>
        </w:rPr>
        <w:t xml:space="preserve"> may be in danger to themselves or others due to their illness</w:t>
      </w:r>
      <w:r w:rsidR="00020CB6">
        <w:rPr>
          <w:rFonts w:ascii="Arial" w:hAnsi="Arial" w:cs="Arial"/>
          <w:szCs w:val="24"/>
        </w:rPr>
        <w:t>.  T</w:t>
      </w:r>
      <w:r w:rsidRPr="00BD08D4">
        <w:rPr>
          <w:rFonts w:ascii="Arial" w:hAnsi="Arial" w:cs="Arial"/>
          <w:szCs w:val="24"/>
        </w:rPr>
        <w:t xml:space="preserve">he Marchman Act provides for the involuntary commitment of someone who experiences a </w:t>
      </w:r>
      <w:r w:rsidR="00020CB6">
        <w:rPr>
          <w:rFonts w:ascii="Arial" w:hAnsi="Arial" w:cs="Arial"/>
          <w:szCs w:val="24"/>
        </w:rPr>
        <w:t>s</w:t>
      </w:r>
      <w:r w:rsidRPr="00BD08D4">
        <w:rPr>
          <w:rFonts w:ascii="Arial" w:hAnsi="Arial" w:cs="Arial"/>
          <w:szCs w:val="24"/>
        </w:rPr>
        <w:t xml:space="preserve">ubstance </w:t>
      </w:r>
      <w:r w:rsidR="00020CB6">
        <w:rPr>
          <w:rFonts w:ascii="Arial" w:hAnsi="Arial" w:cs="Arial"/>
          <w:szCs w:val="24"/>
        </w:rPr>
        <w:t>a</w:t>
      </w:r>
      <w:r w:rsidRPr="00BD08D4">
        <w:rPr>
          <w:rFonts w:ascii="Arial" w:hAnsi="Arial" w:cs="Arial"/>
          <w:szCs w:val="24"/>
        </w:rPr>
        <w:t>buse crisis (F.S. 397) and similarly may be dangerous to self or others.</w:t>
      </w:r>
      <w:r w:rsidR="002704EB">
        <w:rPr>
          <w:rFonts w:ascii="Arial" w:hAnsi="Arial" w:cs="Arial"/>
          <w:szCs w:val="24"/>
        </w:rPr>
        <w:t xml:space="preserve">  </w:t>
      </w:r>
    </w:p>
    <w:p w14:paraId="6AACE62E" w14:textId="09C14A95" w:rsidR="009453F6" w:rsidRPr="00BD08D4" w:rsidRDefault="007F58C1" w:rsidP="001921E7">
      <w:pPr>
        <w:jc w:val="both"/>
        <w:rPr>
          <w:rFonts w:ascii="Arial" w:hAnsi="Arial" w:cs="Arial"/>
          <w:szCs w:val="24"/>
        </w:rPr>
      </w:pPr>
      <w:r>
        <w:rPr>
          <w:rFonts w:ascii="Arial" w:hAnsi="Arial" w:cs="Arial"/>
          <w:szCs w:val="24"/>
        </w:rPr>
        <w:t xml:space="preserve">As designed, the CRS </w:t>
      </w:r>
      <w:r w:rsidR="009453F6" w:rsidRPr="00BD08D4">
        <w:rPr>
          <w:rFonts w:ascii="Arial" w:hAnsi="Arial" w:cs="Arial"/>
          <w:szCs w:val="24"/>
        </w:rPr>
        <w:t>serve</w:t>
      </w:r>
      <w:r>
        <w:rPr>
          <w:rFonts w:ascii="Arial" w:hAnsi="Arial" w:cs="Arial"/>
          <w:szCs w:val="24"/>
        </w:rPr>
        <w:t>s</w:t>
      </w:r>
      <w:r w:rsidR="009453F6" w:rsidRPr="00BD08D4">
        <w:rPr>
          <w:rFonts w:ascii="Arial" w:hAnsi="Arial" w:cs="Arial"/>
          <w:szCs w:val="24"/>
        </w:rPr>
        <w:t xml:space="preserve"> as a single point of entry for law enforcement </w:t>
      </w:r>
      <w:r>
        <w:rPr>
          <w:rFonts w:ascii="Arial" w:hAnsi="Arial" w:cs="Arial"/>
          <w:szCs w:val="24"/>
        </w:rPr>
        <w:t xml:space="preserve">and others including </w:t>
      </w:r>
      <w:r w:rsidR="009453F6" w:rsidRPr="00BD08D4">
        <w:rPr>
          <w:rFonts w:ascii="Arial" w:hAnsi="Arial" w:cs="Arial"/>
          <w:szCs w:val="24"/>
        </w:rPr>
        <w:t xml:space="preserve">individuals </w:t>
      </w:r>
      <w:r>
        <w:rPr>
          <w:rFonts w:ascii="Arial" w:hAnsi="Arial" w:cs="Arial"/>
          <w:szCs w:val="24"/>
        </w:rPr>
        <w:t>in crisis</w:t>
      </w:r>
      <w:r w:rsidR="00020CB6">
        <w:rPr>
          <w:rFonts w:ascii="Arial" w:hAnsi="Arial" w:cs="Arial"/>
          <w:szCs w:val="24"/>
        </w:rPr>
        <w:t xml:space="preserve"> arriving alone or brought to the facility by </w:t>
      </w:r>
      <w:r w:rsidR="009453F6" w:rsidRPr="00BD08D4">
        <w:rPr>
          <w:rFonts w:ascii="Arial" w:hAnsi="Arial" w:cs="Arial"/>
          <w:szCs w:val="24"/>
        </w:rPr>
        <w:t>family members</w:t>
      </w:r>
      <w:r w:rsidR="00D7713C">
        <w:rPr>
          <w:rFonts w:ascii="Arial" w:hAnsi="Arial" w:cs="Arial"/>
          <w:szCs w:val="24"/>
        </w:rPr>
        <w:t xml:space="preserve"> or another care giver</w:t>
      </w:r>
      <w:r w:rsidR="00020CB6">
        <w:rPr>
          <w:rFonts w:ascii="Arial" w:hAnsi="Arial" w:cs="Arial"/>
          <w:szCs w:val="24"/>
        </w:rPr>
        <w:t xml:space="preserve">.  The </w:t>
      </w:r>
      <w:r>
        <w:rPr>
          <w:rFonts w:ascii="Arial" w:hAnsi="Arial" w:cs="Arial"/>
          <w:szCs w:val="24"/>
        </w:rPr>
        <w:t>Mobile Response and Co-Responder Teams</w:t>
      </w:r>
      <w:r w:rsidR="00020CB6">
        <w:rPr>
          <w:rFonts w:ascii="Arial" w:hAnsi="Arial" w:cs="Arial"/>
          <w:szCs w:val="24"/>
        </w:rPr>
        <w:t xml:space="preserve"> may also bring people to the CRS</w:t>
      </w:r>
      <w:r w:rsidR="009453F6" w:rsidRPr="00BD08D4">
        <w:rPr>
          <w:rFonts w:ascii="Arial" w:hAnsi="Arial" w:cs="Arial"/>
          <w:szCs w:val="24"/>
        </w:rPr>
        <w:t>. Access to services will be available 24 hour</w:t>
      </w:r>
      <w:r>
        <w:rPr>
          <w:rFonts w:ascii="Arial" w:hAnsi="Arial" w:cs="Arial"/>
          <w:szCs w:val="24"/>
        </w:rPr>
        <w:t xml:space="preserve">s a day every day </w:t>
      </w:r>
      <w:r w:rsidR="009453F6" w:rsidRPr="00BD08D4">
        <w:rPr>
          <w:rFonts w:ascii="Arial" w:hAnsi="Arial" w:cs="Arial"/>
          <w:szCs w:val="24"/>
        </w:rPr>
        <w:t xml:space="preserve">for those who need help. </w:t>
      </w:r>
      <w:r>
        <w:rPr>
          <w:rFonts w:ascii="Arial" w:hAnsi="Arial" w:cs="Arial"/>
          <w:szCs w:val="24"/>
        </w:rPr>
        <w:t>Currently m</w:t>
      </w:r>
      <w:r w:rsidR="009453F6" w:rsidRPr="00BD08D4">
        <w:rPr>
          <w:rFonts w:ascii="Arial" w:hAnsi="Arial" w:cs="Arial"/>
          <w:szCs w:val="24"/>
        </w:rPr>
        <w:t>any affected must use multiple systems</w:t>
      </w:r>
      <w:r w:rsidR="00020CB6">
        <w:rPr>
          <w:rFonts w:ascii="Arial" w:hAnsi="Arial" w:cs="Arial"/>
          <w:szCs w:val="24"/>
        </w:rPr>
        <w:t>, seeking the service or facility that they may qualify for,</w:t>
      </w:r>
      <w:r>
        <w:rPr>
          <w:rFonts w:ascii="Arial" w:hAnsi="Arial" w:cs="Arial"/>
          <w:szCs w:val="24"/>
        </w:rPr>
        <w:t xml:space="preserve"> often entering the wrong door;</w:t>
      </w:r>
      <w:r w:rsidR="009453F6" w:rsidRPr="00BD08D4">
        <w:rPr>
          <w:rFonts w:ascii="Arial" w:hAnsi="Arial" w:cs="Arial"/>
          <w:szCs w:val="24"/>
        </w:rPr>
        <w:t xml:space="preserve"> a </w:t>
      </w:r>
      <w:r w:rsidR="0002440A">
        <w:rPr>
          <w:rFonts w:ascii="Arial" w:hAnsi="Arial" w:cs="Arial"/>
          <w:szCs w:val="24"/>
        </w:rPr>
        <w:t>CRS</w:t>
      </w:r>
      <w:r w:rsidR="009453F6" w:rsidRPr="00BD08D4">
        <w:rPr>
          <w:rFonts w:ascii="Arial" w:hAnsi="Arial" w:cs="Arial"/>
          <w:szCs w:val="24"/>
        </w:rPr>
        <w:t xml:space="preserve"> </w:t>
      </w:r>
      <w:r>
        <w:rPr>
          <w:rFonts w:ascii="Arial" w:hAnsi="Arial" w:cs="Arial"/>
          <w:szCs w:val="24"/>
        </w:rPr>
        <w:t xml:space="preserve">increases </w:t>
      </w:r>
      <w:r w:rsidR="009453F6" w:rsidRPr="00BD08D4">
        <w:rPr>
          <w:rFonts w:ascii="Arial" w:hAnsi="Arial" w:cs="Arial"/>
          <w:szCs w:val="24"/>
        </w:rPr>
        <w:t>access in a more expedited and comprehensive manner</w:t>
      </w:r>
      <w:r w:rsidR="00020CB6">
        <w:rPr>
          <w:rFonts w:ascii="Arial" w:hAnsi="Arial" w:cs="Arial"/>
          <w:szCs w:val="24"/>
        </w:rPr>
        <w:t xml:space="preserve"> by accepting any individual brought to or seeking services</w:t>
      </w:r>
      <w:r w:rsidR="0089379F">
        <w:rPr>
          <w:rFonts w:ascii="Arial" w:hAnsi="Arial" w:cs="Arial"/>
          <w:szCs w:val="24"/>
        </w:rPr>
        <w:t>.</w:t>
      </w:r>
      <w:r w:rsidR="009453F6" w:rsidRPr="00BD08D4">
        <w:rPr>
          <w:rFonts w:ascii="Arial" w:hAnsi="Arial" w:cs="Arial"/>
          <w:szCs w:val="24"/>
        </w:rPr>
        <w:t xml:space="preserve"> </w:t>
      </w:r>
    </w:p>
    <w:p w14:paraId="06076342" w14:textId="7CB9F7CC" w:rsidR="009453F6" w:rsidRPr="00BD08D4" w:rsidRDefault="009453F6" w:rsidP="001921E7">
      <w:pPr>
        <w:jc w:val="both"/>
        <w:rPr>
          <w:rFonts w:ascii="Arial" w:hAnsi="Arial" w:cs="Arial"/>
          <w:szCs w:val="24"/>
        </w:rPr>
      </w:pPr>
      <w:r w:rsidRPr="00BD08D4">
        <w:rPr>
          <w:rFonts w:ascii="Arial" w:hAnsi="Arial" w:cs="Arial"/>
          <w:szCs w:val="24"/>
        </w:rPr>
        <w:t xml:space="preserve">The </w:t>
      </w:r>
      <w:r w:rsidR="0002440A">
        <w:rPr>
          <w:rFonts w:ascii="Arial" w:hAnsi="Arial" w:cs="Arial"/>
          <w:szCs w:val="24"/>
        </w:rPr>
        <w:t>CRS</w:t>
      </w:r>
      <w:r w:rsidRPr="00BD08D4">
        <w:rPr>
          <w:rFonts w:ascii="Arial" w:hAnsi="Arial" w:cs="Arial"/>
          <w:szCs w:val="24"/>
        </w:rPr>
        <w:t xml:space="preserve"> will offer immediate, short-term assessment, evaluation, stabilization and brief intervention services to those experiencing an acute mental or emotional crisis to prevent further </w:t>
      </w:r>
      <w:r w:rsidR="007F58C1">
        <w:rPr>
          <w:rFonts w:ascii="Arial" w:hAnsi="Arial" w:cs="Arial"/>
          <w:szCs w:val="24"/>
        </w:rPr>
        <w:t xml:space="preserve">destabilization </w:t>
      </w:r>
      <w:r w:rsidRPr="00BD08D4">
        <w:rPr>
          <w:rFonts w:ascii="Arial" w:hAnsi="Arial" w:cs="Arial"/>
          <w:szCs w:val="24"/>
        </w:rPr>
        <w:t xml:space="preserve">to get the help they and their families need to address the crisis. The goal of this </w:t>
      </w:r>
      <w:r w:rsidR="0002440A">
        <w:rPr>
          <w:rFonts w:ascii="Arial" w:hAnsi="Arial" w:cs="Arial"/>
          <w:szCs w:val="24"/>
        </w:rPr>
        <w:t>CRS</w:t>
      </w:r>
      <w:r w:rsidRPr="00BD08D4">
        <w:rPr>
          <w:rFonts w:ascii="Arial" w:hAnsi="Arial" w:cs="Arial"/>
          <w:szCs w:val="24"/>
        </w:rPr>
        <w:t xml:space="preserve"> will be to complete the assessment </w:t>
      </w:r>
      <w:r w:rsidR="009F4389">
        <w:rPr>
          <w:rFonts w:ascii="Arial" w:hAnsi="Arial" w:cs="Arial"/>
          <w:szCs w:val="24"/>
        </w:rPr>
        <w:t>in no more than</w:t>
      </w:r>
      <w:r w:rsidRPr="00BD08D4">
        <w:rPr>
          <w:rFonts w:ascii="Arial" w:hAnsi="Arial" w:cs="Arial"/>
          <w:szCs w:val="24"/>
        </w:rPr>
        <w:t xml:space="preserve"> 23</w:t>
      </w:r>
      <w:r w:rsidR="009F4389">
        <w:rPr>
          <w:rFonts w:ascii="Arial" w:hAnsi="Arial" w:cs="Arial"/>
          <w:szCs w:val="24"/>
        </w:rPr>
        <w:t xml:space="preserve"> </w:t>
      </w:r>
      <w:r w:rsidRPr="00BD08D4">
        <w:rPr>
          <w:rFonts w:ascii="Arial" w:hAnsi="Arial" w:cs="Arial"/>
          <w:szCs w:val="24"/>
        </w:rPr>
        <w:t>hour</w:t>
      </w:r>
      <w:r w:rsidR="009F4389">
        <w:rPr>
          <w:rFonts w:ascii="Arial" w:hAnsi="Arial" w:cs="Arial"/>
          <w:szCs w:val="24"/>
        </w:rPr>
        <w:t>s</w:t>
      </w:r>
      <w:r w:rsidRPr="00BD08D4">
        <w:rPr>
          <w:rFonts w:ascii="Arial" w:hAnsi="Arial" w:cs="Arial"/>
          <w:szCs w:val="24"/>
        </w:rPr>
        <w:t xml:space="preserve">, and to identify </w:t>
      </w:r>
      <w:r w:rsidR="007F58C1">
        <w:rPr>
          <w:rFonts w:ascii="Arial" w:hAnsi="Arial" w:cs="Arial"/>
          <w:szCs w:val="24"/>
        </w:rPr>
        <w:t xml:space="preserve">and effect transfer to </w:t>
      </w:r>
      <w:r w:rsidRPr="00BD08D4">
        <w:rPr>
          <w:rFonts w:ascii="Arial" w:hAnsi="Arial" w:cs="Arial"/>
          <w:szCs w:val="24"/>
        </w:rPr>
        <w:t>the most appropriate level of care needed</w:t>
      </w:r>
      <w:r w:rsidR="009F4389">
        <w:rPr>
          <w:rFonts w:ascii="Arial" w:hAnsi="Arial" w:cs="Arial"/>
          <w:szCs w:val="24"/>
        </w:rPr>
        <w:t xml:space="preserve"> within that time</w:t>
      </w:r>
      <w:r w:rsidRPr="00BD08D4">
        <w:rPr>
          <w:rFonts w:ascii="Arial" w:hAnsi="Arial" w:cs="Arial"/>
          <w:szCs w:val="24"/>
        </w:rPr>
        <w:t>.</w:t>
      </w:r>
    </w:p>
    <w:p w14:paraId="0FEFAE92" w14:textId="0886D59E" w:rsidR="008A67CF" w:rsidRDefault="009453F6" w:rsidP="00464C75">
      <w:pPr>
        <w:autoSpaceDE w:val="0"/>
        <w:autoSpaceDN w:val="0"/>
        <w:adjustRightInd w:val="0"/>
        <w:spacing w:after="137" w:line="240" w:lineRule="auto"/>
        <w:rPr>
          <w:rFonts w:ascii="Arial" w:hAnsi="Arial" w:cs="Arial"/>
          <w:b/>
          <w:szCs w:val="24"/>
        </w:rPr>
      </w:pPr>
      <w:r w:rsidRPr="00BD08D4">
        <w:rPr>
          <w:rFonts w:ascii="Arial" w:hAnsi="Arial" w:cs="Arial"/>
          <w:szCs w:val="24"/>
        </w:rPr>
        <w:t xml:space="preserve">The model Alachua County will use represents essentially a pre-arrest diversion method from criminal justice, and also a diversion from </w:t>
      </w:r>
      <w:r w:rsidR="009F4389">
        <w:rPr>
          <w:rFonts w:ascii="Arial" w:hAnsi="Arial" w:cs="Arial"/>
          <w:szCs w:val="24"/>
        </w:rPr>
        <w:t xml:space="preserve">other </w:t>
      </w:r>
      <w:r w:rsidRPr="00BD08D4">
        <w:rPr>
          <w:rFonts w:ascii="Arial" w:hAnsi="Arial" w:cs="Arial"/>
          <w:szCs w:val="24"/>
        </w:rPr>
        <w:t xml:space="preserve">inappropriate </w:t>
      </w:r>
      <w:r w:rsidR="009F4389">
        <w:rPr>
          <w:rFonts w:ascii="Arial" w:hAnsi="Arial" w:cs="Arial"/>
          <w:szCs w:val="24"/>
        </w:rPr>
        <w:t xml:space="preserve">forms of </w:t>
      </w:r>
      <w:r w:rsidRPr="00BD08D4">
        <w:rPr>
          <w:rFonts w:ascii="Arial" w:hAnsi="Arial" w:cs="Arial"/>
          <w:szCs w:val="24"/>
        </w:rPr>
        <w:t>care</w:t>
      </w:r>
      <w:r w:rsidR="009F4389">
        <w:rPr>
          <w:rFonts w:ascii="Arial" w:hAnsi="Arial" w:cs="Arial"/>
          <w:szCs w:val="24"/>
        </w:rPr>
        <w:t xml:space="preserve">, </w:t>
      </w:r>
      <w:proofErr w:type="gramStart"/>
      <w:r w:rsidR="009F4389">
        <w:rPr>
          <w:rFonts w:ascii="Arial" w:hAnsi="Arial" w:cs="Arial"/>
          <w:szCs w:val="24"/>
        </w:rPr>
        <w:t>e.g.</w:t>
      </w:r>
      <w:proofErr w:type="gramEnd"/>
      <w:r w:rsidR="009F4389">
        <w:rPr>
          <w:rFonts w:ascii="Arial" w:hAnsi="Arial" w:cs="Arial"/>
          <w:szCs w:val="24"/>
        </w:rPr>
        <w:t xml:space="preserve"> emergency room</w:t>
      </w:r>
      <w:r w:rsidRPr="00BD08D4">
        <w:rPr>
          <w:rFonts w:ascii="Arial" w:hAnsi="Arial" w:cs="Arial"/>
          <w:szCs w:val="24"/>
        </w:rPr>
        <w:t xml:space="preserve">. </w:t>
      </w:r>
      <w:r w:rsidR="009F4389">
        <w:rPr>
          <w:rFonts w:ascii="Arial" w:hAnsi="Arial" w:cs="Arial"/>
          <w:szCs w:val="24"/>
        </w:rPr>
        <w:t xml:space="preserve">The </w:t>
      </w:r>
      <w:r w:rsidR="0002440A">
        <w:rPr>
          <w:rFonts w:ascii="Arial" w:hAnsi="Arial" w:cs="Arial"/>
          <w:szCs w:val="24"/>
        </w:rPr>
        <w:t>CRS</w:t>
      </w:r>
      <w:r w:rsidRPr="00BD08D4">
        <w:rPr>
          <w:rFonts w:ascii="Arial" w:hAnsi="Arial" w:cs="Arial"/>
          <w:szCs w:val="24"/>
        </w:rPr>
        <w:t xml:space="preserve"> enables </w:t>
      </w:r>
      <w:r w:rsidR="009F4389">
        <w:rPr>
          <w:rFonts w:ascii="Arial" w:hAnsi="Arial" w:cs="Arial"/>
          <w:szCs w:val="24"/>
        </w:rPr>
        <w:t>law enforcement</w:t>
      </w:r>
      <w:r w:rsidRPr="00BD08D4">
        <w:rPr>
          <w:rFonts w:ascii="Arial" w:hAnsi="Arial" w:cs="Arial"/>
          <w:szCs w:val="24"/>
        </w:rPr>
        <w:t xml:space="preserve"> to have a safe alternative to arrest for those in crisis. Finally, the </w:t>
      </w:r>
      <w:r w:rsidR="0002440A">
        <w:rPr>
          <w:rFonts w:ascii="Arial" w:hAnsi="Arial" w:cs="Arial"/>
          <w:szCs w:val="24"/>
        </w:rPr>
        <w:t>CRS</w:t>
      </w:r>
      <w:r w:rsidRPr="00BD08D4">
        <w:rPr>
          <w:rFonts w:ascii="Arial" w:hAnsi="Arial" w:cs="Arial"/>
          <w:szCs w:val="24"/>
        </w:rPr>
        <w:t xml:space="preserve"> </w:t>
      </w:r>
      <w:r w:rsidR="008A67CF">
        <w:rPr>
          <w:rFonts w:ascii="Arial" w:hAnsi="Arial" w:cs="Arial"/>
          <w:szCs w:val="24"/>
        </w:rPr>
        <w:t>p</w:t>
      </w:r>
      <w:r w:rsidRPr="00BD08D4">
        <w:rPr>
          <w:rFonts w:ascii="Arial" w:hAnsi="Arial" w:cs="Arial"/>
          <w:szCs w:val="24"/>
        </w:rPr>
        <w:t>rovide</w:t>
      </w:r>
      <w:r w:rsidR="008A67CF">
        <w:rPr>
          <w:rFonts w:ascii="Arial" w:hAnsi="Arial" w:cs="Arial"/>
          <w:szCs w:val="24"/>
        </w:rPr>
        <w:t>s an</w:t>
      </w:r>
      <w:r w:rsidRPr="00BD08D4">
        <w:rPr>
          <w:rFonts w:ascii="Arial" w:hAnsi="Arial" w:cs="Arial"/>
          <w:szCs w:val="24"/>
        </w:rPr>
        <w:t xml:space="preserve"> alternative to </w:t>
      </w:r>
      <w:r w:rsidR="009F4389">
        <w:rPr>
          <w:rFonts w:ascii="Arial" w:hAnsi="Arial" w:cs="Arial"/>
          <w:szCs w:val="24"/>
        </w:rPr>
        <w:t xml:space="preserve">emergency </w:t>
      </w:r>
      <w:r w:rsidRPr="00BD08D4">
        <w:rPr>
          <w:rFonts w:ascii="Arial" w:hAnsi="Arial" w:cs="Arial"/>
          <w:szCs w:val="24"/>
        </w:rPr>
        <w:t xml:space="preserve">hospitalization, and thereby reduces </w:t>
      </w:r>
      <w:r w:rsidRPr="000A0D3F">
        <w:rPr>
          <w:rFonts w:ascii="Arial" w:hAnsi="Arial" w:cs="Arial"/>
          <w:szCs w:val="24"/>
        </w:rPr>
        <w:t xml:space="preserve">inappropriate and costly use of hospital </w:t>
      </w:r>
      <w:r w:rsidR="008A67CF" w:rsidRPr="000A0D3F">
        <w:rPr>
          <w:rFonts w:ascii="Arial" w:hAnsi="Arial" w:cs="Arial"/>
          <w:szCs w:val="24"/>
        </w:rPr>
        <w:t xml:space="preserve">emergency room </w:t>
      </w:r>
      <w:r w:rsidRPr="000A0D3F">
        <w:rPr>
          <w:rFonts w:ascii="Arial" w:hAnsi="Arial" w:cs="Arial"/>
          <w:szCs w:val="24"/>
        </w:rPr>
        <w:t>departments</w:t>
      </w:r>
      <w:r w:rsidRPr="00464C75">
        <w:rPr>
          <w:rFonts w:ascii="Arial" w:hAnsi="Arial" w:cs="Arial"/>
          <w:szCs w:val="24"/>
        </w:rPr>
        <w:t xml:space="preserve">. </w:t>
      </w:r>
      <w:r w:rsidR="009F4389" w:rsidRPr="00464C75">
        <w:rPr>
          <w:rFonts w:ascii="Arial" w:hAnsi="Arial" w:cs="Arial"/>
          <w:szCs w:val="24"/>
        </w:rPr>
        <w:t xml:space="preserve">More specifically we expect the CRS will </w:t>
      </w:r>
      <w:r w:rsidR="000A0D3F">
        <w:rPr>
          <w:rFonts w:ascii="Arial" w:hAnsi="Arial" w:cs="Arial"/>
          <w:szCs w:val="24"/>
        </w:rPr>
        <w:t>r</w:t>
      </w:r>
      <w:r w:rsidR="000A0D3F" w:rsidRPr="000A0D3F">
        <w:rPr>
          <w:rFonts w:ascii="Arial" w:hAnsi="Arial" w:cs="Arial"/>
          <w:color w:val="000000"/>
        </w:rPr>
        <w:t>educe drop-off processing time by law enforcement officers for admission to crisis services;</w:t>
      </w:r>
      <w:r w:rsidR="000A0D3F">
        <w:rPr>
          <w:rFonts w:ascii="Arial" w:hAnsi="Arial" w:cs="Arial"/>
          <w:color w:val="000000"/>
        </w:rPr>
        <w:t xml:space="preserve"> i</w:t>
      </w:r>
      <w:r w:rsidR="000A0D3F" w:rsidRPr="00036DDA">
        <w:rPr>
          <w:rFonts w:ascii="Arial" w:hAnsi="Arial" w:cs="Arial"/>
          <w:color w:val="000000"/>
        </w:rPr>
        <w:t xml:space="preserve">ncrease participant access to community-based behavioral health services after referral; </w:t>
      </w:r>
      <w:r w:rsidR="000A0D3F">
        <w:rPr>
          <w:rFonts w:ascii="Arial" w:hAnsi="Arial" w:cs="Arial"/>
          <w:color w:val="000000"/>
        </w:rPr>
        <w:t>and r</w:t>
      </w:r>
      <w:r w:rsidR="000A0D3F" w:rsidRPr="00036DDA">
        <w:rPr>
          <w:rFonts w:ascii="Arial" w:hAnsi="Arial" w:cs="Arial"/>
        </w:rPr>
        <w:t xml:space="preserve">educe </w:t>
      </w:r>
      <w:r w:rsidR="000A0D3F">
        <w:rPr>
          <w:rFonts w:ascii="Arial" w:hAnsi="Arial" w:cs="Arial"/>
        </w:rPr>
        <w:t xml:space="preserve">the </w:t>
      </w:r>
      <w:r w:rsidR="000A0D3F" w:rsidRPr="00036DDA">
        <w:rPr>
          <w:rFonts w:ascii="Arial" w:hAnsi="Arial" w:cs="Arial"/>
        </w:rPr>
        <w:t xml:space="preserve">number of individuals admitted to a state mental health treatment facility; and </w:t>
      </w:r>
      <w:r w:rsidR="000A0D3F">
        <w:rPr>
          <w:rFonts w:ascii="Arial" w:hAnsi="Arial" w:cs="Arial"/>
        </w:rPr>
        <w:t xml:space="preserve">reduce jail admissions for those in crisis.  </w:t>
      </w:r>
    </w:p>
    <w:p w14:paraId="2ED1AFC4" w14:textId="0D56DAB4" w:rsidR="009F5A4B" w:rsidRPr="00464C75" w:rsidRDefault="009F5A4B" w:rsidP="009F5A4B">
      <w:pPr>
        <w:tabs>
          <w:tab w:val="left" w:pos="7050"/>
        </w:tabs>
        <w:rPr>
          <w:rFonts w:ascii="Arial" w:hAnsi="Arial" w:cs="Arial"/>
          <w:iCs/>
        </w:rPr>
      </w:pPr>
      <w:r w:rsidRPr="00464C75">
        <w:rPr>
          <w:rFonts w:ascii="Arial" w:hAnsi="Arial" w:cs="Arial"/>
          <w:iCs/>
        </w:rPr>
        <w:t>Accordingly, we recommend that the Alachua County Board of County Commissioners</w:t>
      </w:r>
      <w:r w:rsidR="000A0D3F">
        <w:rPr>
          <w:rFonts w:ascii="Arial" w:hAnsi="Arial" w:cs="Arial"/>
          <w:iCs/>
        </w:rPr>
        <w:t xml:space="preserve"> a</w:t>
      </w:r>
      <w:r w:rsidRPr="00464C75">
        <w:rPr>
          <w:rFonts w:ascii="Arial" w:hAnsi="Arial" w:cs="Arial"/>
          <w:iCs/>
        </w:rPr>
        <w:t>ppropriate $</w:t>
      </w:r>
      <w:r w:rsidR="00D7713C">
        <w:rPr>
          <w:rFonts w:ascii="Arial" w:hAnsi="Arial" w:cs="Arial"/>
          <w:iCs/>
        </w:rPr>
        <w:t>1,7</w:t>
      </w:r>
      <w:r w:rsidR="009F4389" w:rsidRPr="00464C75">
        <w:rPr>
          <w:rFonts w:ascii="Arial" w:hAnsi="Arial" w:cs="Arial"/>
          <w:iCs/>
        </w:rPr>
        <w:t>50,000</w:t>
      </w:r>
      <w:r w:rsidRPr="00464C75">
        <w:rPr>
          <w:rFonts w:ascii="Arial" w:hAnsi="Arial" w:cs="Arial"/>
          <w:iCs/>
        </w:rPr>
        <w:t xml:space="preserve">.00 of American Rescue Plan funds to support the </w:t>
      </w:r>
      <w:r w:rsidR="009F4389" w:rsidRPr="00464C75">
        <w:rPr>
          <w:rFonts w:ascii="Arial" w:hAnsi="Arial" w:cs="Arial"/>
          <w:iCs/>
        </w:rPr>
        <w:t>operation of the CRS</w:t>
      </w:r>
      <w:r w:rsidRPr="00464C75">
        <w:rPr>
          <w:rFonts w:ascii="Arial" w:hAnsi="Arial" w:cs="Arial"/>
          <w:iCs/>
        </w:rPr>
        <w:t>.</w:t>
      </w:r>
    </w:p>
    <w:p w14:paraId="071DF84C" w14:textId="77777777" w:rsidR="008A67CF" w:rsidRDefault="008A67CF" w:rsidP="001921E7">
      <w:pPr>
        <w:jc w:val="both"/>
        <w:rPr>
          <w:rFonts w:ascii="Arial" w:hAnsi="Arial" w:cs="Arial"/>
          <w:b/>
          <w:szCs w:val="24"/>
        </w:rPr>
      </w:pPr>
    </w:p>
    <w:p w14:paraId="1925D7AA" w14:textId="64E1B8E6" w:rsidR="00965F7E" w:rsidRPr="00DA7ACA" w:rsidRDefault="00965F7E" w:rsidP="00965F7E">
      <w:pPr>
        <w:pStyle w:val="ListParagraph"/>
        <w:tabs>
          <w:tab w:val="left" w:pos="7050"/>
        </w:tabs>
        <w:ind w:left="0"/>
        <w:jc w:val="both"/>
        <w:rPr>
          <w:rFonts w:ascii="Arial" w:hAnsi="Arial" w:cs="Arial"/>
          <w:b/>
          <w:bCs/>
          <w:iCs/>
        </w:rPr>
      </w:pPr>
      <w:r w:rsidRPr="00DA7ACA">
        <w:rPr>
          <w:rFonts w:ascii="Arial" w:hAnsi="Arial" w:cs="Arial"/>
          <w:b/>
          <w:bCs/>
          <w:iCs/>
        </w:rPr>
        <w:lastRenderedPageBreak/>
        <w:t xml:space="preserve">Project </w:t>
      </w:r>
      <w:r>
        <w:rPr>
          <w:rFonts w:ascii="Arial" w:hAnsi="Arial" w:cs="Arial"/>
          <w:b/>
          <w:bCs/>
          <w:iCs/>
        </w:rPr>
        <w:t>O</w:t>
      </w:r>
      <w:r w:rsidRPr="00DA7ACA">
        <w:rPr>
          <w:rFonts w:ascii="Arial" w:hAnsi="Arial" w:cs="Arial"/>
          <w:b/>
          <w:bCs/>
          <w:iCs/>
        </w:rPr>
        <w:t>verview</w:t>
      </w:r>
    </w:p>
    <w:p w14:paraId="5BCF48C2" w14:textId="77777777" w:rsidR="00965F7E" w:rsidRDefault="00965F7E" w:rsidP="00965F7E">
      <w:pPr>
        <w:pStyle w:val="ListParagraph"/>
        <w:tabs>
          <w:tab w:val="left" w:pos="7050"/>
        </w:tabs>
        <w:ind w:left="0"/>
        <w:jc w:val="both"/>
        <w:rPr>
          <w:rFonts w:ascii="Arial" w:hAnsi="Arial" w:cs="Arial"/>
          <w:iCs/>
          <w:u w:val="single"/>
        </w:rPr>
      </w:pPr>
    </w:p>
    <w:p w14:paraId="3A271690" w14:textId="77777777" w:rsidR="00965F7E" w:rsidRDefault="00965F7E" w:rsidP="00965F7E">
      <w:pPr>
        <w:pStyle w:val="ListParagraph"/>
        <w:tabs>
          <w:tab w:val="left" w:pos="7050"/>
        </w:tabs>
        <w:ind w:left="0"/>
        <w:jc w:val="both"/>
        <w:rPr>
          <w:rFonts w:ascii="Arial" w:hAnsi="Arial" w:cs="Arial"/>
          <w:iCs/>
        </w:rPr>
      </w:pPr>
      <w:r w:rsidRPr="00F204D5">
        <w:rPr>
          <w:rFonts w:ascii="Arial" w:hAnsi="Arial" w:cs="Arial"/>
          <w:iCs/>
        </w:rPr>
        <w:t xml:space="preserve">Alachua County is requesting </w:t>
      </w:r>
      <w:r w:rsidRPr="00F204D5">
        <w:rPr>
          <w:rFonts w:ascii="Arial" w:hAnsi="Arial" w:cs="Arial"/>
          <w:szCs w:val="24"/>
        </w:rPr>
        <w:t xml:space="preserve">SLFRF </w:t>
      </w:r>
      <w:r w:rsidRPr="00F204D5">
        <w:rPr>
          <w:rFonts w:ascii="Arial" w:hAnsi="Arial" w:cs="Arial"/>
          <w:iCs/>
        </w:rPr>
        <w:t xml:space="preserve">funds to develop and implement a Central Receiving </w:t>
      </w:r>
      <w:r w:rsidRPr="00F204D5">
        <w:rPr>
          <w:rFonts w:ascii="Arial" w:hAnsi="Arial" w:cs="Arial"/>
        </w:rPr>
        <w:t>System</w:t>
      </w:r>
      <w:r w:rsidRPr="00F204D5">
        <w:rPr>
          <w:rFonts w:ascii="Arial" w:hAnsi="Arial" w:cs="Arial"/>
          <w:iCs/>
        </w:rPr>
        <w:t xml:space="preserve"> (</w:t>
      </w:r>
      <w:r w:rsidRPr="00F204D5">
        <w:rPr>
          <w:rFonts w:ascii="Arial" w:hAnsi="Arial" w:cs="Arial"/>
          <w:szCs w:val="24"/>
        </w:rPr>
        <w:t>CRS</w:t>
      </w:r>
      <w:r w:rsidRPr="00F204D5">
        <w:rPr>
          <w:rFonts w:ascii="Arial" w:hAnsi="Arial" w:cs="Arial"/>
          <w:iCs/>
        </w:rPr>
        <w:t xml:space="preserve">) to provide needed Behavioral Health services to citizens in our County. The </w:t>
      </w:r>
      <w:r w:rsidRPr="00F204D5">
        <w:rPr>
          <w:rFonts w:ascii="Arial" w:hAnsi="Arial" w:cs="Arial"/>
          <w:szCs w:val="24"/>
        </w:rPr>
        <w:t>CRS</w:t>
      </w:r>
      <w:r w:rsidRPr="00F204D5">
        <w:rPr>
          <w:rFonts w:ascii="Arial" w:hAnsi="Arial" w:cs="Arial"/>
          <w:iCs/>
        </w:rPr>
        <w:t xml:space="preserve"> provides a single point of entry into the local Behavioral Health system for assessment and appropriate placement of adults who are experiencing a Mental Health crisis or a Substance Use crisis. The </w:t>
      </w:r>
      <w:r w:rsidRPr="00F204D5">
        <w:rPr>
          <w:rFonts w:ascii="Arial" w:hAnsi="Arial" w:cs="Arial"/>
          <w:szCs w:val="24"/>
        </w:rPr>
        <w:t>CRS</w:t>
      </w:r>
      <w:r w:rsidRPr="00F204D5">
        <w:rPr>
          <w:rFonts w:ascii="Arial" w:hAnsi="Arial" w:cs="Arial"/>
          <w:iCs/>
        </w:rPr>
        <w:t xml:space="preserve"> will serve as a single point of entry/drop off for law enforcement officers, as well as for individuals walking in, caregivers or family members assisting someone in crisis. The </w:t>
      </w:r>
      <w:r w:rsidRPr="00F204D5">
        <w:rPr>
          <w:rFonts w:ascii="Arial" w:hAnsi="Arial" w:cs="Arial"/>
          <w:szCs w:val="24"/>
        </w:rPr>
        <w:t>CRS</w:t>
      </w:r>
      <w:r w:rsidRPr="00F204D5">
        <w:rPr>
          <w:rFonts w:ascii="Arial" w:hAnsi="Arial" w:cs="Arial"/>
          <w:iCs/>
        </w:rPr>
        <w:t xml:space="preserve"> will offer immediate, short-term assessment, evaluation, </w:t>
      </w:r>
      <w:proofErr w:type="gramStart"/>
      <w:r w:rsidRPr="00F204D5">
        <w:rPr>
          <w:rFonts w:ascii="Arial" w:hAnsi="Arial" w:cs="Arial"/>
          <w:iCs/>
        </w:rPr>
        <w:t>stabilization</w:t>
      </w:r>
      <w:proofErr w:type="gramEnd"/>
      <w:r w:rsidRPr="00F204D5">
        <w:rPr>
          <w:rFonts w:ascii="Arial" w:hAnsi="Arial" w:cs="Arial"/>
          <w:iCs/>
        </w:rPr>
        <w:t xml:space="preserve"> and brief intervention services to those experiencing an acute mental or emotional crisis to prevent further deterioration of mental health. The goal of the </w:t>
      </w:r>
      <w:r w:rsidRPr="00F204D5">
        <w:rPr>
          <w:rFonts w:ascii="Arial" w:hAnsi="Arial" w:cs="Arial"/>
          <w:szCs w:val="24"/>
        </w:rPr>
        <w:t>CRS</w:t>
      </w:r>
      <w:r w:rsidRPr="00F204D5">
        <w:rPr>
          <w:rFonts w:ascii="Arial" w:hAnsi="Arial" w:cs="Arial"/>
          <w:iCs/>
        </w:rPr>
        <w:t xml:space="preserve"> is to complete the assessment within a 23-hour period, and to identify the most appropriate level of care needed. The intended outcomes of the </w:t>
      </w:r>
      <w:r w:rsidRPr="00F204D5">
        <w:rPr>
          <w:rFonts w:ascii="Arial" w:hAnsi="Arial" w:cs="Arial"/>
          <w:szCs w:val="24"/>
        </w:rPr>
        <w:t>CRS</w:t>
      </w:r>
      <w:r w:rsidRPr="00F204D5">
        <w:rPr>
          <w:rFonts w:ascii="Arial" w:hAnsi="Arial" w:cs="Arial"/>
          <w:iCs/>
        </w:rPr>
        <w:t xml:space="preserve"> will be to enhance greater Coordination of Care for those in need and encourage improved use of resources –in part by providing an alternative to hospitalization and inappropriate care in the criminal justice system. </w:t>
      </w:r>
    </w:p>
    <w:p w14:paraId="08997539" w14:textId="77777777" w:rsidR="00965F7E" w:rsidRDefault="00965F7E" w:rsidP="00965F7E">
      <w:pPr>
        <w:pStyle w:val="ListParagraph"/>
        <w:tabs>
          <w:tab w:val="left" w:pos="7050"/>
        </w:tabs>
        <w:ind w:left="0"/>
        <w:jc w:val="both"/>
        <w:rPr>
          <w:rFonts w:ascii="Arial" w:hAnsi="Arial" w:cs="Arial"/>
          <w:iCs/>
        </w:rPr>
      </w:pPr>
    </w:p>
    <w:p w14:paraId="0232B632" w14:textId="77777777" w:rsidR="00965F7E" w:rsidRPr="00F204D5" w:rsidRDefault="00965F7E" w:rsidP="00965F7E">
      <w:pPr>
        <w:pStyle w:val="ListParagraph"/>
        <w:tabs>
          <w:tab w:val="left" w:pos="7050"/>
        </w:tabs>
        <w:ind w:left="0"/>
        <w:jc w:val="both"/>
        <w:rPr>
          <w:rFonts w:ascii="Arial" w:hAnsi="Arial" w:cs="Arial"/>
          <w:iCs/>
          <w:u w:val="single"/>
        </w:rPr>
      </w:pPr>
      <w:r w:rsidRPr="00F204D5">
        <w:rPr>
          <w:rFonts w:ascii="Arial" w:hAnsi="Arial" w:cs="Arial"/>
          <w:iCs/>
        </w:rPr>
        <w:t xml:space="preserve">The proposed timeline for the </w:t>
      </w:r>
      <w:r w:rsidRPr="00F204D5">
        <w:rPr>
          <w:rFonts w:ascii="Arial" w:hAnsi="Arial" w:cs="Arial"/>
          <w:szCs w:val="24"/>
        </w:rPr>
        <w:t>CRS</w:t>
      </w:r>
      <w:r w:rsidRPr="00F204D5">
        <w:rPr>
          <w:rFonts w:ascii="Arial" w:hAnsi="Arial" w:cs="Arial"/>
          <w:iCs/>
        </w:rPr>
        <w:t xml:space="preserve"> project initiates with a formal commitment from Alachua County and its partner organizations, including Meridian Behavioral Health Care as service delivery agent during Summer 2022 to begin the project. Additional partner organizations for funding of planned operations have been sought, including local hospital systems – UF Health and North Florida Regional Health Care. The City of Gainesville is also a partner on capital budget requirements. Efforts to fund construction/renovation of a facility owned by Meridian are underway. Following the securing of financing from local sources during late Fall, construction at Meridian’s existing facility would commence. It is projected that Fall 2023 would see the start-up/operation of the </w:t>
      </w:r>
      <w:r w:rsidRPr="00F204D5">
        <w:rPr>
          <w:rFonts w:ascii="Arial" w:hAnsi="Arial" w:cs="Arial"/>
          <w:szCs w:val="24"/>
        </w:rPr>
        <w:t>CRS</w:t>
      </w:r>
      <w:r w:rsidRPr="00F204D5">
        <w:rPr>
          <w:rFonts w:ascii="Arial" w:hAnsi="Arial" w:cs="Arial"/>
          <w:iCs/>
        </w:rPr>
        <w:t xml:space="preserve"> Program. Full operation of the </w:t>
      </w:r>
      <w:r w:rsidRPr="00F204D5">
        <w:rPr>
          <w:rFonts w:ascii="Arial" w:hAnsi="Arial" w:cs="Arial"/>
          <w:szCs w:val="24"/>
        </w:rPr>
        <w:t>CRS</w:t>
      </w:r>
      <w:r w:rsidRPr="00F204D5">
        <w:rPr>
          <w:rFonts w:ascii="Arial" w:hAnsi="Arial" w:cs="Arial"/>
          <w:iCs/>
        </w:rPr>
        <w:t xml:space="preserve"> would begin in January 2024. It should be noted that the partner organizations which are health-related will participate as part of an overall coordinated system, the entry point of which will be the </w:t>
      </w:r>
      <w:r w:rsidRPr="00F204D5">
        <w:rPr>
          <w:rFonts w:ascii="Arial" w:hAnsi="Arial" w:cs="Arial"/>
          <w:szCs w:val="24"/>
        </w:rPr>
        <w:t>CRS</w:t>
      </w:r>
      <w:r w:rsidRPr="00F204D5">
        <w:rPr>
          <w:rFonts w:ascii="Arial" w:hAnsi="Arial" w:cs="Arial"/>
          <w:iCs/>
        </w:rPr>
        <w:t xml:space="preserve"> itself. Such partners will assist through their commitment to the entire system of beds and related resources necessary to make the system function properly and assure behavioral health crisis care has no gaps for the population served. </w:t>
      </w:r>
    </w:p>
    <w:p w14:paraId="5B9C6043" w14:textId="77777777" w:rsidR="00965F7E" w:rsidRDefault="00965F7E">
      <w:pPr>
        <w:rPr>
          <w:rFonts w:ascii="Arial" w:hAnsi="Arial" w:cs="Arial"/>
          <w:bCs/>
          <w:szCs w:val="24"/>
        </w:rPr>
      </w:pPr>
      <w:r>
        <w:rPr>
          <w:rFonts w:ascii="Arial" w:hAnsi="Arial" w:cs="Arial"/>
          <w:bCs/>
          <w:szCs w:val="24"/>
        </w:rPr>
        <w:br w:type="page"/>
      </w:r>
    </w:p>
    <w:p w14:paraId="43A9CFCB" w14:textId="08C729D4" w:rsidR="009453F6" w:rsidRPr="00464C75" w:rsidRDefault="009453F6" w:rsidP="001921E7">
      <w:pPr>
        <w:jc w:val="both"/>
        <w:rPr>
          <w:rFonts w:ascii="Arial" w:hAnsi="Arial" w:cs="Arial"/>
          <w:bCs/>
          <w:szCs w:val="24"/>
        </w:rPr>
      </w:pPr>
      <w:r w:rsidRPr="00464C75">
        <w:rPr>
          <w:rFonts w:ascii="Arial" w:hAnsi="Arial" w:cs="Arial"/>
          <w:bCs/>
          <w:szCs w:val="24"/>
        </w:rPr>
        <w:lastRenderedPageBreak/>
        <w:t xml:space="preserve">For a review of the anticipated model to be used for the Central Receiving </w:t>
      </w:r>
      <w:r w:rsidR="00C32089" w:rsidRPr="00464C75">
        <w:rPr>
          <w:rFonts w:ascii="Arial" w:hAnsi="Arial" w:cs="Arial"/>
          <w:bCs/>
          <w:szCs w:val="24"/>
        </w:rPr>
        <w:t>System</w:t>
      </w:r>
      <w:r w:rsidRPr="00464C75">
        <w:rPr>
          <w:rFonts w:ascii="Arial" w:hAnsi="Arial" w:cs="Arial"/>
          <w:bCs/>
          <w:szCs w:val="24"/>
        </w:rPr>
        <w:t xml:space="preserve"> Program by Alachua County, see the </w:t>
      </w:r>
      <w:r w:rsidR="00EB4916">
        <w:rPr>
          <w:rFonts w:ascii="Arial" w:hAnsi="Arial" w:cs="Arial"/>
          <w:bCs/>
          <w:szCs w:val="24"/>
        </w:rPr>
        <w:t xml:space="preserve">following </w:t>
      </w:r>
      <w:r w:rsidRPr="00464C75">
        <w:rPr>
          <w:rFonts w:ascii="Arial" w:hAnsi="Arial" w:cs="Arial"/>
          <w:bCs/>
          <w:szCs w:val="24"/>
        </w:rPr>
        <w:t>diagram.</w:t>
      </w:r>
    </w:p>
    <w:p w14:paraId="6495719D" w14:textId="50CF0B47" w:rsidR="009453F6" w:rsidRPr="00BD08D4" w:rsidRDefault="009453F6" w:rsidP="001921E7">
      <w:pPr>
        <w:jc w:val="both"/>
        <w:rPr>
          <w:rFonts w:ascii="Arial" w:hAnsi="Arial" w:cs="Arial"/>
          <w:b/>
          <w:szCs w:val="24"/>
        </w:rPr>
      </w:pPr>
      <w:r w:rsidRPr="00BD08D4">
        <w:rPr>
          <w:rFonts w:ascii="Arial" w:hAnsi="Arial" w:cs="Arial"/>
          <w:noProof/>
          <w:szCs w:val="24"/>
        </w:rPr>
        <w:drawing>
          <wp:inline distT="0" distB="0" distL="0" distR="0" wp14:anchorId="3EAB8BDA" wp14:editId="5620F92B">
            <wp:extent cx="5943600" cy="5359763"/>
            <wp:effectExtent l="0" t="0" r="0" b="0"/>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ubble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5359763"/>
                    </a:xfrm>
                    <a:prstGeom prst="rect">
                      <a:avLst/>
                    </a:prstGeom>
                  </pic:spPr>
                </pic:pic>
              </a:graphicData>
            </a:graphic>
          </wp:inline>
        </w:drawing>
      </w:r>
    </w:p>
    <w:p w14:paraId="794B02C8" w14:textId="77777777" w:rsidR="00FD173D" w:rsidRDefault="00FD173D" w:rsidP="005E4664">
      <w:pPr>
        <w:jc w:val="both"/>
        <w:rPr>
          <w:rFonts w:ascii="Arial" w:hAnsi="Arial" w:cs="Arial"/>
          <w:b/>
          <w:szCs w:val="24"/>
        </w:rPr>
      </w:pPr>
    </w:p>
    <w:p w14:paraId="54349031" w14:textId="4FE771A5" w:rsidR="009453F6" w:rsidRPr="00464C75" w:rsidRDefault="009453F6" w:rsidP="001921E7">
      <w:pPr>
        <w:jc w:val="both"/>
        <w:rPr>
          <w:rFonts w:ascii="Arial" w:hAnsi="Arial" w:cs="Arial"/>
          <w:bCs/>
        </w:rPr>
      </w:pPr>
      <w:r w:rsidRPr="00464C75">
        <w:rPr>
          <w:rFonts w:ascii="Arial" w:hAnsi="Arial" w:cs="Arial"/>
          <w:bCs/>
        </w:rPr>
        <w:t xml:space="preserve">The eligible use of </w:t>
      </w:r>
      <w:r w:rsidR="0069673A" w:rsidRPr="000A0D3F">
        <w:rPr>
          <w:rFonts w:ascii="Arial" w:hAnsi="Arial" w:cs="Arial"/>
          <w:bCs/>
        </w:rPr>
        <w:t xml:space="preserve">SLFRF </w:t>
      </w:r>
      <w:r w:rsidRPr="00464C75">
        <w:rPr>
          <w:rFonts w:ascii="Arial" w:hAnsi="Arial" w:cs="Arial"/>
          <w:bCs/>
        </w:rPr>
        <w:t xml:space="preserve">funds for this planned purpose is primarily tied to these activities: 1) Supports for vulnerable populations to access medical or public health services; 2) Enhancement to public health capacity; </w:t>
      </w:r>
      <w:proofErr w:type="gramStart"/>
      <w:r w:rsidRPr="00464C75">
        <w:rPr>
          <w:rFonts w:ascii="Arial" w:hAnsi="Arial" w:cs="Arial"/>
          <w:bCs/>
        </w:rPr>
        <w:t>and,</w:t>
      </w:r>
      <w:proofErr w:type="gramEnd"/>
      <w:r w:rsidRPr="00464C75">
        <w:rPr>
          <w:rFonts w:ascii="Arial" w:hAnsi="Arial" w:cs="Arial"/>
          <w:bCs/>
        </w:rPr>
        <w:t xml:space="preserve"> 3) Enhancement of public health data systems; and other public health responses.</w:t>
      </w:r>
    </w:p>
    <w:p w14:paraId="7F8C80D0" w14:textId="5C6A1D89" w:rsidR="009453F6" w:rsidRPr="00464C75" w:rsidRDefault="009453F6" w:rsidP="001921E7">
      <w:pPr>
        <w:jc w:val="both"/>
        <w:rPr>
          <w:rFonts w:ascii="Arial" w:hAnsi="Arial" w:cs="Arial"/>
          <w:bCs/>
          <w:szCs w:val="24"/>
        </w:rPr>
      </w:pPr>
      <w:r w:rsidRPr="00464C75">
        <w:rPr>
          <w:rFonts w:ascii="Arial" w:hAnsi="Arial" w:cs="Arial"/>
          <w:bCs/>
          <w:szCs w:val="24"/>
        </w:rPr>
        <w:t xml:space="preserve">Because the COVID pandemic has significantly affected </w:t>
      </w:r>
      <w:r w:rsidR="00655F4F">
        <w:rPr>
          <w:rFonts w:ascii="Arial" w:hAnsi="Arial" w:cs="Arial"/>
          <w:bCs/>
          <w:szCs w:val="24"/>
        </w:rPr>
        <w:t>m</w:t>
      </w:r>
      <w:r w:rsidRPr="00464C75">
        <w:rPr>
          <w:rFonts w:ascii="Arial" w:hAnsi="Arial" w:cs="Arial"/>
          <w:bCs/>
          <w:szCs w:val="24"/>
        </w:rPr>
        <w:t xml:space="preserve">ental </w:t>
      </w:r>
      <w:r w:rsidR="00655F4F">
        <w:rPr>
          <w:rFonts w:ascii="Arial" w:hAnsi="Arial" w:cs="Arial"/>
          <w:bCs/>
          <w:szCs w:val="24"/>
        </w:rPr>
        <w:t>h</w:t>
      </w:r>
      <w:r w:rsidRPr="00464C75">
        <w:rPr>
          <w:rFonts w:ascii="Arial" w:hAnsi="Arial" w:cs="Arial"/>
          <w:bCs/>
          <w:szCs w:val="24"/>
        </w:rPr>
        <w:t xml:space="preserve">ealth and </w:t>
      </w:r>
      <w:r w:rsidR="00655F4F">
        <w:rPr>
          <w:rFonts w:ascii="Arial" w:hAnsi="Arial" w:cs="Arial"/>
          <w:bCs/>
          <w:szCs w:val="24"/>
        </w:rPr>
        <w:t>s</w:t>
      </w:r>
      <w:r w:rsidRPr="00464C75">
        <w:rPr>
          <w:rFonts w:ascii="Arial" w:hAnsi="Arial" w:cs="Arial"/>
          <w:bCs/>
          <w:szCs w:val="24"/>
        </w:rPr>
        <w:t xml:space="preserve">ubstance </w:t>
      </w:r>
      <w:r w:rsidR="00655F4F">
        <w:rPr>
          <w:rFonts w:ascii="Arial" w:hAnsi="Arial" w:cs="Arial"/>
          <w:bCs/>
          <w:szCs w:val="24"/>
        </w:rPr>
        <w:t>u</w:t>
      </w:r>
      <w:r w:rsidRPr="00464C75">
        <w:rPr>
          <w:rFonts w:ascii="Arial" w:hAnsi="Arial" w:cs="Arial"/>
          <w:bCs/>
          <w:szCs w:val="24"/>
        </w:rPr>
        <w:t xml:space="preserve">se </w:t>
      </w:r>
      <w:r w:rsidR="00655F4F">
        <w:rPr>
          <w:rFonts w:ascii="Arial" w:hAnsi="Arial" w:cs="Arial"/>
          <w:bCs/>
          <w:szCs w:val="24"/>
        </w:rPr>
        <w:t>d</w:t>
      </w:r>
      <w:r w:rsidRPr="00464C75">
        <w:rPr>
          <w:rFonts w:ascii="Arial" w:hAnsi="Arial" w:cs="Arial"/>
          <w:bCs/>
          <w:szCs w:val="24"/>
        </w:rPr>
        <w:t xml:space="preserve">isorders, the priority for this project is responding locally by supporting and enhancing </w:t>
      </w:r>
      <w:r w:rsidR="00655F4F">
        <w:rPr>
          <w:rFonts w:ascii="Arial" w:hAnsi="Arial" w:cs="Arial"/>
          <w:bCs/>
          <w:szCs w:val="24"/>
        </w:rPr>
        <w:t>b</w:t>
      </w:r>
      <w:r w:rsidRPr="00464C75">
        <w:rPr>
          <w:rFonts w:ascii="Arial" w:hAnsi="Arial" w:cs="Arial"/>
          <w:bCs/>
          <w:szCs w:val="24"/>
        </w:rPr>
        <w:t xml:space="preserve">ehavioral </w:t>
      </w:r>
      <w:r w:rsidR="00655F4F">
        <w:rPr>
          <w:rFonts w:ascii="Arial" w:hAnsi="Arial" w:cs="Arial"/>
          <w:bCs/>
          <w:szCs w:val="24"/>
        </w:rPr>
        <w:t>h</w:t>
      </w:r>
      <w:r w:rsidRPr="00464C75">
        <w:rPr>
          <w:rFonts w:ascii="Arial" w:hAnsi="Arial" w:cs="Arial"/>
          <w:bCs/>
          <w:szCs w:val="24"/>
        </w:rPr>
        <w:t xml:space="preserve">ealth </w:t>
      </w:r>
      <w:r w:rsidR="00655F4F">
        <w:rPr>
          <w:rFonts w:ascii="Arial" w:hAnsi="Arial" w:cs="Arial"/>
          <w:bCs/>
          <w:szCs w:val="24"/>
        </w:rPr>
        <w:t>s</w:t>
      </w:r>
      <w:r w:rsidRPr="00464C75">
        <w:rPr>
          <w:rFonts w:ascii="Arial" w:hAnsi="Arial" w:cs="Arial"/>
          <w:bCs/>
          <w:szCs w:val="24"/>
        </w:rPr>
        <w:t xml:space="preserve">ervices </w:t>
      </w:r>
      <w:r w:rsidR="00655F4F">
        <w:rPr>
          <w:rFonts w:ascii="Arial" w:hAnsi="Arial" w:cs="Arial"/>
          <w:bCs/>
          <w:szCs w:val="24"/>
        </w:rPr>
        <w:t xml:space="preserve">for anyone in need, </w:t>
      </w:r>
      <w:r w:rsidRPr="00464C75">
        <w:rPr>
          <w:rFonts w:ascii="Arial" w:hAnsi="Arial" w:cs="Arial"/>
          <w:bCs/>
          <w:szCs w:val="24"/>
        </w:rPr>
        <w:t xml:space="preserve">which </w:t>
      </w:r>
      <w:r w:rsidR="00655F4F">
        <w:rPr>
          <w:rFonts w:ascii="Arial" w:hAnsi="Arial" w:cs="Arial"/>
          <w:bCs/>
          <w:szCs w:val="24"/>
        </w:rPr>
        <w:t xml:space="preserve">also </w:t>
      </w:r>
      <w:r w:rsidRPr="00464C75">
        <w:rPr>
          <w:rFonts w:ascii="Arial" w:hAnsi="Arial" w:cs="Arial"/>
          <w:bCs/>
          <w:szCs w:val="24"/>
        </w:rPr>
        <w:t>assist in responding to public safety needs.</w:t>
      </w:r>
      <w:r w:rsidR="00655F4F">
        <w:rPr>
          <w:rFonts w:ascii="Arial" w:hAnsi="Arial" w:cs="Arial"/>
          <w:bCs/>
          <w:szCs w:val="24"/>
        </w:rPr>
        <w:t xml:space="preserve"> The CRS also adds to and enhances our </w:t>
      </w:r>
      <w:r w:rsidR="00480CDE">
        <w:rPr>
          <w:rFonts w:ascii="Arial" w:hAnsi="Arial" w:cs="Arial"/>
          <w:bCs/>
          <w:szCs w:val="24"/>
        </w:rPr>
        <w:t>capacity,</w:t>
      </w:r>
      <w:r w:rsidR="00655F4F">
        <w:rPr>
          <w:rFonts w:ascii="Arial" w:hAnsi="Arial" w:cs="Arial"/>
          <w:bCs/>
          <w:szCs w:val="24"/>
        </w:rPr>
        <w:t xml:space="preserve"> and an integral component is establishing a system of community-wide crisis bed management as well as improved coordination of the system of care</w:t>
      </w:r>
      <w:r w:rsidRPr="00464C75">
        <w:rPr>
          <w:rFonts w:ascii="Arial" w:hAnsi="Arial" w:cs="Arial"/>
          <w:bCs/>
          <w:szCs w:val="24"/>
        </w:rPr>
        <w:t xml:space="preserve">.  </w:t>
      </w:r>
    </w:p>
    <w:p w14:paraId="3C5D25DE" w14:textId="61426270" w:rsidR="004F7FD9" w:rsidRDefault="004F7FD9" w:rsidP="001921E7">
      <w:pPr>
        <w:jc w:val="both"/>
        <w:rPr>
          <w:rFonts w:ascii="Arial" w:hAnsi="Arial" w:cs="Arial"/>
          <w:szCs w:val="24"/>
        </w:rPr>
      </w:pPr>
      <w:r w:rsidRPr="00480CDE">
        <w:rPr>
          <w:rFonts w:ascii="Arial" w:hAnsi="Arial" w:cs="Arial"/>
          <w:szCs w:val="24"/>
        </w:rPr>
        <w:lastRenderedPageBreak/>
        <w:t>For those lacking health insurance or other financial resources, including those recently impacted by Covid through lost employment, the CRS assures access to needed crisis services regardless of ability to pay.  By serving anyone in crisis regardless of any demographic or socio-economic status</w:t>
      </w:r>
      <w:r w:rsidR="001E1672" w:rsidRPr="00480CDE">
        <w:rPr>
          <w:rFonts w:ascii="Arial" w:hAnsi="Arial" w:cs="Arial"/>
          <w:szCs w:val="24"/>
        </w:rPr>
        <w:t>, the CR</w:t>
      </w:r>
      <w:r w:rsidR="00A7726B" w:rsidRPr="00480CDE">
        <w:rPr>
          <w:rFonts w:ascii="Arial" w:hAnsi="Arial" w:cs="Arial"/>
          <w:szCs w:val="24"/>
        </w:rPr>
        <w:t>S</w:t>
      </w:r>
      <w:r w:rsidR="001E1672" w:rsidRPr="00480CDE">
        <w:rPr>
          <w:rFonts w:ascii="Arial" w:hAnsi="Arial" w:cs="Arial"/>
          <w:szCs w:val="24"/>
        </w:rPr>
        <w:t xml:space="preserve"> assures access to needed services.  This model will by its nature reduce these inequities.  </w:t>
      </w:r>
      <w:r w:rsidRPr="00480CDE">
        <w:rPr>
          <w:rFonts w:ascii="Arial" w:hAnsi="Arial" w:cs="Arial"/>
          <w:szCs w:val="24"/>
        </w:rPr>
        <w:t xml:space="preserve"> </w:t>
      </w:r>
      <w:r w:rsidR="008829B7" w:rsidRPr="00480CDE">
        <w:rPr>
          <w:rFonts w:ascii="Arial" w:hAnsi="Arial" w:cs="Arial"/>
          <w:szCs w:val="24"/>
        </w:rPr>
        <w:t>Once established, the CRS Oversight Board will monitor service data to assure that the population served addresses these known inequities.</w:t>
      </w:r>
      <w:r w:rsidR="008829B7">
        <w:rPr>
          <w:rFonts w:ascii="Arial" w:hAnsi="Arial" w:cs="Arial"/>
          <w:szCs w:val="24"/>
        </w:rPr>
        <w:t xml:space="preserve">  </w:t>
      </w:r>
      <w:r>
        <w:rPr>
          <w:rFonts w:ascii="Arial" w:hAnsi="Arial" w:cs="Arial"/>
          <w:szCs w:val="24"/>
        </w:rPr>
        <w:t xml:space="preserve">  </w:t>
      </w:r>
    </w:p>
    <w:p w14:paraId="6731DDEA" w14:textId="69BABFCE" w:rsidR="009453F6" w:rsidRPr="00BD08D4" w:rsidRDefault="009453F6" w:rsidP="001921E7">
      <w:pPr>
        <w:jc w:val="both"/>
        <w:rPr>
          <w:rFonts w:ascii="Arial" w:hAnsi="Arial" w:cs="Arial"/>
          <w:szCs w:val="24"/>
        </w:rPr>
      </w:pPr>
      <w:r w:rsidRPr="00BD08D4">
        <w:rPr>
          <w:rFonts w:ascii="Arial" w:hAnsi="Arial" w:cs="Arial"/>
          <w:szCs w:val="24"/>
        </w:rPr>
        <w:t xml:space="preserve">There has been significant development and implementation of multiple </w:t>
      </w:r>
      <w:r w:rsidR="0002440A">
        <w:rPr>
          <w:rFonts w:ascii="Arial" w:hAnsi="Arial" w:cs="Arial"/>
          <w:szCs w:val="24"/>
        </w:rPr>
        <w:t>CRS</w:t>
      </w:r>
      <w:r w:rsidRPr="00BD08D4">
        <w:rPr>
          <w:rFonts w:ascii="Arial" w:hAnsi="Arial" w:cs="Arial"/>
          <w:szCs w:val="24"/>
        </w:rPr>
        <w:t xml:space="preserve">’s established throughout Florida possessing excellent models.  Some </w:t>
      </w:r>
      <w:proofErr w:type="gramStart"/>
      <w:r w:rsidR="00655F4F">
        <w:rPr>
          <w:rFonts w:ascii="Arial" w:hAnsi="Arial" w:cs="Arial"/>
          <w:szCs w:val="24"/>
        </w:rPr>
        <w:t>CRS’s</w:t>
      </w:r>
      <w:proofErr w:type="gramEnd"/>
      <w:r w:rsidR="00655F4F">
        <w:rPr>
          <w:rFonts w:ascii="Arial" w:hAnsi="Arial" w:cs="Arial"/>
          <w:szCs w:val="24"/>
        </w:rPr>
        <w:t xml:space="preserve"> </w:t>
      </w:r>
      <w:r w:rsidRPr="00BD08D4">
        <w:rPr>
          <w:rFonts w:ascii="Arial" w:hAnsi="Arial" w:cs="Arial"/>
          <w:szCs w:val="24"/>
        </w:rPr>
        <w:t>have provided a useful laboratory for the Alachua County initiative to learn from, and develop program planning. There are now 10 CRS</w:t>
      </w:r>
      <w:r w:rsidR="00655F4F">
        <w:rPr>
          <w:rFonts w:ascii="Arial" w:hAnsi="Arial" w:cs="Arial"/>
          <w:szCs w:val="24"/>
        </w:rPr>
        <w:t>’</w:t>
      </w:r>
      <w:r w:rsidRPr="00BD08D4">
        <w:rPr>
          <w:rFonts w:ascii="Arial" w:hAnsi="Arial" w:cs="Arial"/>
          <w:szCs w:val="24"/>
        </w:rPr>
        <w:t xml:space="preserve"> operating in 23 of Florida’s counties. During FY </w:t>
      </w:r>
      <w:r w:rsidR="00655F4F">
        <w:rPr>
          <w:rFonts w:ascii="Arial" w:hAnsi="Arial" w:cs="Arial"/>
          <w:szCs w:val="24"/>
        </w:rPr>
        <w:t>20</w:t>
      </w:r>
      <w:r w:rsidRPr="00BD08D4">
        <w:rPr>
          <w:rFonts w:ascii="Arial" w:hAnsi="Arial" w:cs="Arial"/>
          <w:szCs w:val="24"/>
        </w:rPr>
        <w:t xml:space="preserve">19-20, these Facilities served 43,298 unduplicated individuals and effectively diverted over 8,000 </w:t>
      </w:r>
      <w:r w:rsidR="00655F4F">
        <w:rPr>
          <w:rFonts w:ascii="Arial" w:hAnsi="Arial" w:cs="Arial"/>
          <w:szCs w:val="24"/>
        </w:rPr>
        <w:t xml:space="preserve">people </w:t>
      </w:r>
      <w:r w:rsidRPr="00BD08D4">
        <w:rPr>
          <w:rFonts w:ascii="Arial" w:hAnsi="Arial" w:cs="Arial"/>
          <w:szCs w:val="24"/>
        </w:rPr>
        <w:t xml:space="preserve">from hospitals for a cost avoidance of $51 million in emergency room expenditures. For a review of the existing Central Receiving </w:t>
      </w:r>
      <w:r w:rsidR="005C36A6">
        <w:rPr>
          <w:rFonts w:ascii="Arial" w:hAnsi="Arial" w:cs="Arial"/>
          <w:szCs w:val="24"/>
        </w:rPr>
        <w:t>Systems</w:t>
      </w:r>
      <w:r w:rsidR="005C36A6" w:rsidRPr="00BD08D4">
        <w:rPr>
          <w:rFonts w:ascii="Arial" w:hAnsi="Arial" w:cs="Arial"/>
          <w:szCs w:val="24"/>
        </w:rPr>
        <w:t xml:space="preserve"> </w:t>
      </w:r>
      <w:r w:rsidRPr="00BD08D4">
        <w:rPr>
          <w:rFonts w:ascii="Arial" w:hAnsi="Arial" w:cs="Arial"/>
          <w:szCs w:val="24"/>
        </w:rPr>
        <w:t>now operative in the State of Florida, please see the map of Florida embedded directly below:</w:t>
      </w:r>
    </w:p>
    <w:p w14:paraId="7F1B5171" w14:textId="715EC86E" w:rsidR="009453F6" w:rsidRPr="00BD08D4" w:rsidRDefault="009453F6" w:rsidP="00464C75">
      <w:pPr>
        <w:jc w:val="center"/>
        <w:rPr>
          <w:rFonts w:ascii="Arial" w:hAnsi="Arial" w:cs="Arial"/>
          <w:szCs w:val="24"/>
        </w:rPr>
      </w:pPr>
      <w:r w:rsidRPr="00BD08D4">
        <w:rPr>
          <w:rFonts w:ascii="Arial" w:hAnsi="Arial" w:cs="Arial"/>
          <w:noProof/>
          <w:szCs w:val="24"/>
        </w:rPr>
        <w:drawing>
          <wp:inline distT="0" distB="0" distL="0" distR="0" wp14:anchorId="4A03D1B1" wp14:editId="2C6592B2">
            <wp:extent cx="3977640" cy="5148072"/>
            <wp:effectExtent l="0" t="0" r="3810" b="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977640" cy="5148072"/>
                    </a:xfrm>
                    <a:prstGeom prst="rect">
                      <a:avLst/>
                    </a:prstGeom>
                  </pic:spPr>
                </pic:pic>
              </a:graphicData>
            </a:graphic>
          </wp:inline>
        </w:drawing>
      </w:r>
    </w:p>
    <w:p w14:paraId="375B3CE6" w14:textId="77777777" w:rsidR="00DF46FC" w:rsidRDefault="00DF46FC" w:rsidP="001921E7">
      <w:pPr>
        <w:jc w:val="both"/>
        <w:rPr>
          <w:rFonts w:ascii="Arial" w:hAnsi="Arial" w:cs="Arial"/>
          <w:szCs w:val="24"/>
        </w:rPr>
      </w:pPr>
    </w:p>
    <w:p w14:paraId="4A03DA24" w14:textId="5B94743E" w:rsidR="009453F6" w:rsidRPr="00BD08D4" w:rsidRDefault="009453F6" w:rsidP="001921E7">
      <w:pPr>
        <w:jc w:val="both"/>
        <w:rPr>
          <w:rFonts w:ascii="Arial" w:hAnsi="Arial" w:cs="Arial"/>
          <w:szCs w:val="24"/>
        </w:rPr>
      </w:pPr>
      <w:r w:rsidRPr="00BD08D4">
        <w:rPr>
          <w:rFonts w:ascii="Arial" w:hAnsi="Arial" w:cs="Arial"/>
          <w:szCs w:val="24"/>
        </w:rPr>
        <w:lastRenderedPageBreak/>
        <w:t xml:space="preserve">Advocacy has been considerable among a variety of organizations for the development of a </w:t>
      </w:r>
      <w:r w:rsidR="0002440A">
        <w:rPr>
          <w:rFonts w:ascii="Arial" w:hAnsi="Arial" w:cs="Arial"/>
          <w:szCs w:val="24"/>
        </w:rPr>
        <w:t>CRS</w:t>
      </w:r>
      <w:r w:rsidRPr="00BD08D4">
        <w:rPr>
          <w:rFonts w:ascii="Arial" w:hAnsi="Arial" w:cs="Arial"/>
          <w:szCs w:val="24"/>
        </w:rPr>
        <w:t xml:space="preserve"> for this region for nearly the past decade. More recently the Alachua County Public Safety Coordinating Council (PSCC) Subcommittee on Oversight has provided significant leadership to advance the concept of a </w:t>
      </w:r>
      <w:r w:rsidR="0002440A">
        <w:rPr>
          <w:rFonts w:ascii="Arial" w:hAnsi="Arial" w:cs="Arial"/>
          <w:szCs w:val="24"/>
        </w:rPr>
        <w:t>CRS</w:t>
      </w:r>
      <w:r w:rsidRPr="00BD08D4">
        <w:rPr>
          <w:rFonts w:ascii="Arial" w:hAnsi="Arial" w:cs="Arial"/>
          <w:szCs w:val="24"/>
        </w:rPr>
        <w:t xml:space="preserve">. The PSCC includes stakeholders in the local Criminal Justice and Behavioral Health systems, including three major hospital systems. Current plans are to continue to use this forum to examine the progress made toward achieving full operation of the planned </w:t>
      </w:r>
      <w:r w:rsidR="0002440A">
        <w:rPr>
          <w:rFonts w:ascii="Arial" w:hAnsi="Arial" w:cs="Arial"/>
          <w:szCs w:val="24"/>
        </w:rPr>
        <w:t>CRS</w:t>
      </w:r>
      <w:r w:rsidRPr="00480CDE">
        <w:rPr>
          <w:rFonts w:ascii="Arial" w:hAnsi="Arial" w:cs="Arial"/>
          <w:szCs w:val="24"/>
        </w:rPr>
        <w:t>.</w:t>
      </w:r>
      <w:r w:rsidR="008829B7" w:rsidRPr="00480CDE">
        <w:rPr>
          <w:rFonts w:ascii="Arial" w:hAnsi="Arial" w:cs="Arial"/>
          <w:szCs w:val="24"/>
        </w:rPr>
        <w:t xml:space="preserve"> In its deliberations, the Oversight Board has sought to engage the community in discussions about the CR</w:t>
      </w:r>
      <w:r w:rsidR="00A7726B" w:rsidRPr="00480CDE">
        <w:rPr>
          <w:rFonts w:ascii="Arial" w:hAnsi="Arial" w:cs="Arial"/>
          <w:szCs w:val="24"/>
        </w:rPr>
        <w:t>S</w:t>
      </w:r>
      <w:r w:rsidR="008829B7" w:rsidRPr="00480CDE">
        <w:rPr>
          <w:rFonts w:ascii="Arial" w:hAnsi="Arial" w:cs="Arial"/>
          <w:szCs w:val="24"/>
        </w:rPr>
        <w:t xml:space="preserve"> and assure the voices of the under-served are included.</w:t>
      </w:r>
      <w:r w:rsidR="008829B7">
        <w:rPr>
          <w:rFonts w:ascii="Arial" w:hAnsi="Arial" w:cs="Arial"/>
          <w:szCs w:val="24"/>
        </w:rPr>
        <w:t xml:space="preserve">  </w:t>
      </w:r>
    </w:p>
    <w:p w14:paraId="10D466CE" w14:textId="3CDE8D26" w:rsidR="009453F6" w:rsidRPr="005328FF" w:rsidRDefault="009453F6" w:rsidP="001921E7">
      <w:pPr>
        <w:jc w:val="both"/>
        <w:rPr>
          <w:rFonts w:ascii="Arial" w:hAnsi="Arial" w:cs="Arial"/>
        </w:rPr>
      </w:pPr>
      <w:r w:rsidRPr="005328FF">
        <w:rPr>
          <w:rFonts w:ascii="Arial" w:hAnsi="Arial" w:cs="Arial"/>
        </w:rPr>
        <w:t xml:space="preserve">The proposed timeline for the development and implementation of the </w:t>
      </w:r>
      <w:r w:rsidR="0002440A" w:rsidRPr="005328FF">
        <w:rPr>
          <w:rFonts w:ascii="Arial" w:hAnsi="Arial" w:cs="Arial"/>
        </w:rPr>
        <w:t>CRS</w:t>
      </w:r>
      <w:r w:rsidRPr="005328FF">
        <w:rPr>
          <w:rFonts w:ascii="Arial" w:hAnsi="Arial" w:cs="Arial"/>
        </w:rPr>
        <w:t xml:space="preserve"> is:</w:t>
      </w:r>
    </w:p>
    <w:p w14:paraId="124DCA70" w14:textId="687BA6DD" w:rsidR="009B01A5" w:rsidRPr="001921E7" w:rsidRDefault="009453F6" w:rsidP="001921E7">
      <w:pPr>
        <w:pStyle w:val="ListParagraph"/>
        <w:numPr>
          <w:ilvl w:val="0"/>
          <w:numId w:val="44"/>
        </w:numPr>
        <w:spacing w:line="360" w:lineRule="auto"/>
        <w:jc w:val="both"/>
        <w:rPr>
          <w:rFonts w:ascii="Arial" w:hAnsi="Arial" w:cs="Arial"/>
        </w:rPr>
      </w:pPr>
      <w:r w:rsidRPr="001921E7">
        <w:rPr>
          <w:rFonts w:ascii="Arial" w:hAnsi="Arial" w:cs="Arial"/>
        </w:rPr>
        <w:t xml:space="preserve">August 2021: Alachua County </w:t>
      </w:r>
      <w:proofErr w:type="spellStart"/>
      <w:r w:rsidRPr="001921E7">
        <w:rPr>
          <w:rFonts w:ascii="Arial" w:hAnsi="Arial" w:cs="Arial"/>
        </w:rPr>
        <w:t>BoCC</w:t>
      </w:r>
      <w:proofErr w:type="spellEnd"/>
      <w:r w:rsidRPr="001921E7">
        <w:rPr>
          <w:rFonts w:ascii="Arial" w:hAnsi="Arial" w:cs="Arial"/>
        </w:rPr>
        <w:t xml:space="preserve"> commits to develop and implement a </w:t>
      </w:r>
      <w:r w:rsidR="0002440A" w:rsidRPr="001921E7">
        <w:rPr>
          <w:rFonts w:ascii="Arial" w:hAnsi="Arial" w:cs="Arial"/>
        </w:rPr>
        <w:t>CRS</w:t>
      </w:r>
    </w:p>
    <w:p w14:paraId="1B5357BC" w14:textId="0F9DEB7C" w:rsidR="00BC7966" w:rsidRPr="001921E7" w:rsidRDefault="00BC7966" w:rsidP="001921E7">
      <w:pPr>
        <w:pStyle w:val="ListParagraph"/>
        <w:numPr>
          <w:ilvl w:val="0"/>
          <w:numId w:val="44"/>
        </w:numPr>
        <w:spacing w:line="360" w:lineRule="auto"/>
        <w:jc w:val="both"/>
        <w:rPr>
          <w:rFonts w:ascii="Arial" w:hAnsi="Arial" w:cs="Arial"/>
        </w:rPr>
      </w:pPr>
      <w:r w:rsidRPr="001921E7">
        <w:rPr>
          <w:rFonts w:ascii="Arial" w:hAnsi="Arial" w:cs="Arial"/>
        </w:rPr>
        <w:t xml:space="preserve">May </w:t>
      </w:r>
      <w:r w:rsidR="00BD5F95" w:rsidRPr="001921E7">
        <w:rPr>
          <w:rFonts w:ascii="Arial" w:hAnsi="Arial" w:cs="Arial"/>
        </w:rPr>
        <w:t xml:space="preserve">2022: </w:t>
      </w:r>
      <w:r w:rsidRPr="001921E7">
        <w:rPr>
          <w:rFonts w:ascii="Arial" w:hAnsi="Arial" w:cs="Arial"/>
        </w:rPr>
        <w:t xml:space="preserve">Alachua County </w:t>
      </w:r>
      <w:proofErr w:type="spellStart"/>
      <w:r w:rsidRPr="001921E7">
        <w:rPr>
          <w:rFonts w:ascii="Arial" w:hAnsi="Arial" w:cs="Arial"/>
        </w:rPr>
        <w:t>BoCC</w:t>
      </w:r>
      <w:proofErr w:type="spellEnd"/>
      <w:r w:rsidRPr="001921E7">
        <w:rPr>
          <w:rFonts w:ascii="Arial" w:hAnsi="Arial" w:cs="Arial"/>
        </w:rPr>
        <w:t xml:space="preserve"> approves staff recommendation to award capital and operational funds to Meridian Behavioral Healthcare to implement a CRS</w:t>
      </w:r>
    </w:p>
    <w:p w14:paraId="1B00C159" w14:textId="171FFE80" w:rsidR="00A22272" w:rsidRPr="001921E7" w:rsidRDefault="00A22272" w:rsidP="001921E7">
      <w:pPr>
        <w:pStyle w:val="ListParagraph"/>
        <w:numPr>
          <w:ilvl w:val="0"/>
          <w:numId w:val="44"/>
        </w:numPr>
        <w:spacing w:line="360" w:lineRule="auto"/>
        <w:jc w:val="both"/>
        <w:rPr>
          <w:rFonts w:ascii="Arial" w:hAnsi="Arial" w:cs="Arial"/>
        </w:rPr>
      </w:pPr>
      <w:r w:rsidRPr="001921E7">
        <w:rPr>
          <w:rFonts w:ascii="Arial" w:hAnsi="Arial" w:cs="Arial"/>
        </w:rPr>
        <w:t>Ju</w:t>
      </w:r>
      <w:r w:rsidR="00DF46FC">
        <w:rPr>
          <w:rFonts w:ascii="Arial" w:hAnsi="Arial" w:cs="Arial"/>
        </w:rPr>
        <w:t xml:space="preserve">ly </w:t>
      </w:r>
      <w:r w:rsidRPr="001921E7">
        <w:rPr>
          <w:rFonts w:ascii="Arial" w:hAnsi="Arial" w:cs="Arial"/>
        </w:rPr>
        <w:t>2022: City of Gainesville, Gainesville Police Department</w:t>
      </w:r>
      <w:r w:rsidR="006F1246">
        <w:rPr>
          <w:rFonts w:ascii="Arial" w:hAnsi="Arial" w:cs="Arial"/>
        </w:rPr>
        <w:t xml:space="preserve"> </w:t>
      </w:r>
      <w:r w:rsidR="00DF46FC">
        <w:rPr>
          <w:rFonts w:ascii="Arial" w:hAnsi="Arial" w:cs="Arial"/>
        </w:rPr>
        <w:t>award</w:t>
      </w:r>
      <w:r w:rsidR="006F1246">
        <w:rPr>
          <w:rFonts w:ascii="Arial" w:hAnsi="Arial" w:cs="Arial"/>
        </w:rPr>
        <w:t xml:space="preserve">ed a </w:t>
      </w:r>
      <w:r w:rsidR="006F1246" w:rsidRPr="00ED1740">
        <w:rPr>
          <w:rFonts w:ascii="Arial" w:hAnsi="Arial" w:cs="Arial"/>
        </w:rPr>
        <w:t>Legislative Budget Request of $496,500 to support the CRS implementation</w:t>
      </w:r>
      <w:r w:rsidR="006F1246">
        <w:rPr>
          <w:rFonts w:ascii="Arial" w:hAnsi="Arial" w:cs="Arial"/>
        </w:rPr>
        <w:t xml:space="preserve"> </w:t>
      </w:r>
      <w:r w:rsidR="002E6B3C" w:rsidRPr="001921E7">
        <w:rPr>
          <w:rFonts w:ascii="Arial" w:hAnsi="Arial" w:cs="Arial"/>
        </w:rPr>
        <w:t xml:space="preserve"> </w:t>
      </w:r>
    </w:p>
    <w:p w14:paraId="6362F056" w14:textId="4BBF9ADE" w:rsidR="00C55570" w:rsidRPr="00DF46FC" w:rsidRDefault="00C55570" w:rsidP="001921E7">
      <w:pPr>
        <w:pStyle w:val="ListParagraph"/>
        <w:numPr>
          <w:ilvl w:val="0"/>
          <w:numId w:val="44"/>
        </w:numPr>
        <w:spacing w:line="360" w:lineRule="auto"/>
        <w:jc w:val="both"/>
        <w:rPr>
          <w:rFonts w:ascii="Arial" w:hAnsi="Arial" w:cs="Arial"/>
        </w:rPr>
      </w:pPr>
      <w:r w:rsidRPr="00DF46FC">
        <w:rPr>
          <w:rFonts w:ascii="Arial" w:hAnsi="Arial" w:cs="Arial"/>
        </w:rPr>
        <w:t xml:space="preserve">Summer 2022: Commitment to fund construction from </w:t>
      </w:r>
      <w:r w:rsidR="00D7713C">
        <w:rPr>
          <w:rFonts w:ascii="Arial" w:hAnsi="Arial" w:cs="Arial"/>
        </w:rPr>
        <w:t xml:space="preserve">the </w:t>
      </w:r>
      <w:r w:rsidRPr="00DF46FC">
        <w:rPr>
          <w:rFonts w:ascii="Arial" w:hAnsi="Arial" w:cs="Arial"/>
        </w:rPr>
        <w:t>City of Gainesville, Alachua County</w:t>
      </w:r>
      <w:r w:rsidR="00D7713C">
        <w:rPr>
          <w:rFonts w:ascii="Arial" w:hAnsi="Arial" w:cs="Arial"/>
        </w:rPr>
        <w:t xml:space="preserve"> and State of Florida</w:t>
      </w:r>
      <w:r w:rsidRPr="00DF46FC">
        <w:rPr>
          <w:rFonts w:ascii="Arial" w:hAnsi="Arial" w:cs="Arial"/>
        </w:rPr>
        <w:t>. Architectural plans, bid process and construction initiation</w:t>
      </w:r>
    </w:p>
    <w:p w14:paraId="7AFDBCD0" w14:textId="4E63501A" w:rsidR="009453F6" w:rsidRPr="001921E7" w:rsidRDefault="00EF2B0D" w:rsidP="001921E7">
      <w:pPr>
        <w:pStyle w:val="ListParagraph"/>
        <w:numPr>
          <w:ilvl w:val="0"/>
          <w:numId w:val="44"/>
        </w:numPr>
        <w:spacing w:line="360" w:lineRule="auto"/>
        <w:jc w:val="both"/>
        <w:rPr>
          <w:rFonts w:ascii="Arial" w:hAnsi="Arial" w:cs="Arial"/>
        </w:rPr>
      </w:pPr>
      <w:r w:rsidRPr="001921E7">
        <w:rPr>
          <w:rFonts w:ascii="Arial" w:hAnsi="Arial" w:cs="Arial"/>
        </w:rPr>
        <w:t xml:space="preserve">Fall </w:t>
      </w:r>
      <w:r w:rsidR="009453F6" w:rsidRPr="001921E7">
        <w:rPr>
          <w:rFonts w:ascii="Arial" w:hAnsi="Arial" w:cs="Arial"/>
        </w:rPr>
        <w:t>202</w:t>
      </w:r>
      <w:r w:rsidR="00DF46FC">
        <w:rPr>
          <w:rFonts w:ascii="Arial" w:hAnsi="Arial" w:cs="Arial"/>
        </w:rPr>
        <w:t>2 – Summer 202</w:t>
      </w:r>
      <w:r w:rsidRPr="001921E7">
        <w:rPr>
          <w:rFonts w:ascii="Arial" w:hAnsi="Arial" w:cs="Arial"/>
        </w:rPr>
        <w:t>3</w:t>
      </w:r>
      <w:r w:rsidR="009453F6" w:rsidRPr="001921E7">
        <w:rPr>
          <w:rFonts w:ascii="Arial" w:hAnsi="Arial" w:cs="Arial"/>
        </w:rPr>
        <w:t xml:space="preserve">: </w:t>
      </w:r>
      <w:r w:rsidR="00DF46FC">
        <w:rPr>
          <w:rFonts w:ascii="Arial" w:hAnsi="Arial" w:cs="Arial"/>
        </w:rPr>
        <w:t>Construction of the CRS</w:t>
      </w:r>
    </w:p>
    <w:p w14:paraId="734178BC" w14:textId="793524D6" w:rsidR="009453F6" w:rsidRPr="001921E7" w:rsidRDefault="009453F6" w:rsidP="001921E7">
      <w:pPr>
        <w:pStyle w:val="ListParagraph"/>
        <w:numPr>
          <w:ilvl w:val="0"/>
          <w:numId w:val="44"/>
        </w:numPr>
        <w:spacing w:line="360" w:lineRule="auto"/>
        <w:jc w:val="both"/>
        <w:rPr>
          <w:rFonts w:ascii="Arial" w:hAnsi="Arial" w:cs="Arial"/>
        </w:rPr>
      </w:pPr>
      <w:r w:rsidRPr="001921E7">
        <w:rPr>
          <w:rFonts w:ascii="Arial" w:hAnsi="Arial" w:cs="Arial"/>
        </w:rPr>
        <w:t>January 202</w:t>
      </w:r>
      <w:r w:rsidR="00EF2B0D" w:rsidRPr="001921E7">
        <w:rPr>
          <w:rFonts w:ascii="Arial" w:hAnsi="Arial" w:cs="Arial"/>
        </w:rPr>
        <w:t>4</w:t>
      </w:r>
      <w:r w:rsidRPr="001921E7">
        <w:rPr>
          <w:rFonts w:ascii="Arial" w:hAnsi="Arial" w:cs="Arial"/>
        </w:rPr>
        <w:t xml:space="preserve"> </w:t>
      </w:r>
      <w:r w:rsidR="00DF46FC">
        <w:rPr>
          <w:rFonts w:ascii="Arial" w:hAnsi="Arial" w:cs="Arial"/>
        </w:rPr>
        <w:t>Ribbon Cutting and f</w:t>
      </w:r>
      <w:r w:rsidRPr="001921E7">
        <w:rPr>
          <w:rFonts w:ascii="Arial" w:hAnsi="Arial" w:cs="Arial"/>
        </w:rPr>
        <w:t xml:space="preserve">ull operation of </w:t>
      </w:r>
      <w:r w:rsidR="00DF46FC">
        <w:rPr>
          <w:rFonts w:ascii="Arial" w:hAnsi="Arial" w:cs="Arial"/>
        </w:rPr>
        <w:t xml:space="preserve">the </w:t>
      </w:r>
      <w:r w:rsidR="0002440A" w:rsidRPr="001921E7">
        <w:rPr>
          <w:rFonts w:ascii="Arial" w:hAnsi="Arial" w:cs="Arial"/>
        </w:rPr>
        <w:t>CRS</w:t>
      </w:r>
      <w:r w:rsidRPr="001921E7">
        <w:rPr>
          <w:rFonts w:ascii="Arial" w:hAnsi="Arial" w:cs="Arial"/>
        </w:rPr>
        <w:t xml:space="preserve"> </w:t>
      </w:r>
    </w:p>
    <w:p w14:paraId="7276AA6A" w14:textId="44E1A610" w:rsidR="009453F6" w:rsidRPr="00BD08D4" w:rsidRDefault="009453F6" w:rsidP="001921E7">
      <w:pPr>
        <w:jc w:val="both"/>
        <w:rPr>
          <w:rFonts w:ascii="Arial" w:hAnsi="Arial" w:cs="Arial"/>
          <w:szCs w:val="24"/>
        </w:rPr>
      </w:pPr>
      <w:r w:rsidRPr="00BD08D4">
        <w:rPr>
          <w:rFonts w:ascii="Arial" w:hAnsi="Arial" w:cs="Arial"/>
          <w:szCs w:val="24"/>
        </w:rPr>
        <w:t xml:space="preserve">The fundamental framework for the </w:t>
      </w:r>
      <w:r w:rsidR="0002440A">
        <w:rPr>
          <w:rFonts w:ascii="Arial" w:hAnsi="Arial" w:cs="Arial"/>
          <w:szCs w:val="24"/>
        </w:rPr>
        <w:t>CRS</w:t>
      </w:r>
      <w:r w:rsidRPr="00BD08D4">
        <w:rPr>
          <w:rFonts w:ascii="Arial" w:hAnsi="Arial" w:cs="Arial"/>
          <w:szCs w:val="24"/>
        </w:rPr>
        <w:t xml:space="preserve"> is planned to be represented through the means of a broad public/private partnership de</w:t>
      </w:r>
      <w:r w:rsidR="0002072A">
        <w:rPr>
          <w:rFonts w:ascii="Arial" w:hAnsi="Arial" w:cs="Arial"/>
          <w:szCs w:val="24"/>
        </w:rPr>
        <w:t>veloped in our County</w:t>
      </w:r>
      <w:r w:rsidRPr="00BD08D4">
        <w:rPr>
          <w:rFonts w:ascii="Arial" w:hAnsi="Arial" w:cs="Arial"/>
          <w:szCs w:val="24"/>
        </w:rPr>
        <w:t xml:space="preserve">. Meridian Behavioral Health Care (MBHC) serves as one of the public providers among the four designated receiving centers engaged in operation of the local coordinated receiving system for the County. MBHC is the designated public </w:t>
      </w:r>
      <w:r w:rsidR="00ED18F6">
        <w:rPr>
          <w:rFonts w:ascii="Arial" w:hAnsi="Arial" w:cs="Arial"/>
          <w:szCs w:val="24"/>
        </w:rPr>
        <w:t xml:space="preserve">receiving </w:t>
      </w:r>
      <w:r w:rsidR="005073BC">
        <w:rPr>
          <w:rFonts w:ascii="Arial" w:hAnsi="Arial" w:cs="Arial"/>
          <w:szCs w:val="24"/>
        </w:rPr>
        <w:t>facility</w:t>
      </w:r>
      <w:r w:rsidRPr="00BD08D4">
        <w:rPr>
          <w:rFonts w:ascii="Arial" w:hAnsi="Arial" w:cs="Arial"/>
          <w:szCs w:val="24"/>
        </w:rPr>
        <w:t xml:space="preserve"> for the County and region, as far as </w:t>
      </w:r>
      <w:r w:rsidR="00DF46FC">
        <w:rPr>
          <w:rFonts w:ascii="Arial" w:hAnsi="Arial" w:cs="Arial"/>
          <w:szCs w:val="24"/>
        </w:rPr>
        <w:t>m</w:t>
      </w:r>
      <w:r w:rsidR="004416A5" w:rsidRPr="004416A5">
        <w:rPr>
          <w:rFonts w:ascii="Arial" w:hAnsi="Arial" w:cs="Arial"/>
          <w:szCs w:val="24"/>
        </w:rPr>
        <w:t>ental</w:t>
      </w:r>
      <w:r w:rsidRPr="00BD08D4">
        <w:rPr>
          <w:rFonts w:ascii="Arial" w:hAnsi="Arial" w:cs="Arial"/>
          <w:szCs w:val="24"/>
        </w:rPr>
        <w:t xml:space="preserve"> </w:t>
      </w:r>
      <w:r w:rsidR="00DF46FC">
        <w:rPr>
          <w:rFonts w:ascii="Arial" w:hAnsi="Arial" w:cs="Arial"/>
          <w:szCs w:val="24"/>
        </w:rPr>
        <w:t>h</w:t>
      </w:r>
      <w:r w:rsidRPr="00BD08D4">
        <w:rPr>
          <w:rFonts w:ascii="Arial" w:hAnsi="Arial" w:cs="Arial"/>
          <w:szCs w:val="24"/>
        </w:rPr>
        <w:t xml:space="preserve">ealth and </w:t>
      </w:r>
      <w:r w:rsidR="00DF46FC">
        <w:rPr>
          <w:rFonts w:ascii="Arial" w:hAnsi="Arial" w:cs="Arial"/>
          <w:szCs w:val="24"/>
        </w:rPr>
        <w:t>s</w:t>
      </w:r>
      <w:r w:rsidRPr="00BD08D4">
        <w:rPr>
          <w:rFonts w:ascii="Arial" w:hAnsi="Arial" w:cs="Arial"/>
          <w:szCs w:val="24"/>
        </w:rPr>
        <w:t xml:space="preserve">ubstance </w:t>
      </w:r>
      <w:r w:rsidR="00DF46FC">
        <w:rPr>
          <w:rFonts w:ascii="Arial" w:hAnsi="Arial" w:cs="Arial"/>
          <w:szCs w:val="24"/>
        </w:rPr>
        <w:t>u</w:t>
      </w:r>
      <w:r w:rsidRPr="00BD08D4">
        <w:rPr>
          <w:rFonts w:ascii="Arial" w:hAnsi="Arial" w:cs="Arial"/>
          <w:szCs w:val="24"/>
        </w:rPr>
        <w:t>se</w:t>
      </w:r>
      <w:r w:rsidR="00DF46FC">
        <w:rPr>
          <w:rFonts w:ascii="Arial" w:hAnsi="Arial" w:cs="Arial"/>
          <w:szCs w:val="24"/>
        </w:rPr>
        <w:t xml:space="preserve"> </w:t>
      </w:r>
      <w:r w:rsidRPr="00BD08D4">
        <w:rPr>
          <w:rFonts w:ascii="Arial" w:hAnsi="Arial" w:cs="Arial"/>
          <w:szCs w:val="24"/>
        </w:rPr>
        <w:t xml:space="preserve">related services are concerned. Additionally, there are multiple public and private hospital systems providing behavioral health care, including: </w:t>
      </w:r>
      <w:r w:rsidR="00DF46FC">
        <w:rPr>
          <w:rFonts w:ascii="Arial" w:hAnsi="Arial" w:cs="Arial"/>
          <w:szCs w:val="24"/>
        </w:rPr>
        <w:t xml:space="preserve">the </w:t>
      </w:r>
      <w:r w:rsidRPr="00BD08D4">
        <w:rPr>
          <w:rFonts w:ascii="Arial" w:hAnsi="Arial" w:cs="Arial"/>
          <w:szCs w:val="24"/>
        </w:rPr>
        <w:t>University of Florida (UF) Health</w:t>
      </w:r>
      <w:r w:rsidR="00F82A05">
        <w:rPr>
          <w:rFonts w:ascii="Arial" w:hAnsi="Arial" w:cs="Arial"/>
          <w:szCs w:val="24"/>
        </w:rPr>
        <w:t xml:space="preserve"> Psychiatric Hospital</w:t>
      </w:r>
      <w:r w:rsidRPr="00BD08D4">
        <w:rPr>
          <w:rFonts w:ascii="Arial" w:hAnsi="Arial" w:cs="Arial"/>
          <w:szCs w:val="24"/>
        </w:rPr>
        <w:t xml:space="preserve">; North Florida Regional Medical Center (NFRMC); and the Malcolm Randall Veterans Administration Medical Center. In addition, Alachua County and the City of Gainesville are also strong local public partners committed to the development and implementation of the planned </w:t>
      </w:r>
      <w:r w:rsidR="0002440A">
        <w:rPr>
          <w:rFonts w:ascii="Arial" w:hAnsi="Arial" w:cs="Arial"/>
          <w:szCs w:val="24"/>
        </w:rPr>
        <w:t>CRS</w:t>
      </w:r>
      <w:r w:rsidRPr="00480CDE">
        <w:rPr>
          <w:rFonts w:ascii="Arial" w:hAnsi="Arial" w:cs="Arial"/>
          <w:szCs w:val="24"/>
        </w:rPr>
        <w:t xml:space="preserve">. </w:t>
      </w:r>
      <w:r w:rsidR="008829B7" w:rsidRPr="00480CDE">
        <w:rPr>
          <w:rFonts w:ascii="Arial" w:hAnsi="Arial" w:cs="Arial"/>
          <w:szCs w:val="24"/>
        </w:rPr>
        <w:t xml:space="preserve">The CRS is one project among several others, the City of Gainesville and Alachua County are </w:t>
      </w:r>
      <w:r w:rsidR="0013742E" w:rsidRPr="00480CDE">
        <w:rPr>
          <w:rFonts w:ascii="Arial" w:hAnsi="Arial" w:cs="Arial"/>
          <w:szCs w:val="24"/>
        </w:rPr>
        <w:t>undertaking</w:t>
      </w:r>
      <w:r w:rsidR="008829B7" w:rsidRPr="00480CDE">
        <w:rPr>
          <w:rFonts w:ascii="Arial" w:hAnsi="Arial" w:cs="Arial"/>
          <w:szCs w:val="24"/>
        </w:rPr>
        <w:t xml:space="preserve"> to address known health disparities and inequities.</w:t>
      </w:r>
      <w:r w:rsidR="008829B7">
        <w:rPr>
          <w:rFonts w:ascii="Arial" w:hAnsi="Arial" w:cs="Arial"/>
          <w:szCs w:val="24"/>
        </w:rPr>
        <w:t xml:space="preserve">  </w:t>
      </w:r>
    </w:p>
    <w:p w14:paraId="0EE84B8E" w14:textId="765B37DB" w:rsidR="009453F6" w:rsidRPr="00DC6391" w:rsidRDefault="009453F6" w:rsidP="001921E7">
      <w:pPr>
        <w:jc w:val="both"/>
        <w:rPr>
          <w:rFonts w:ascii="Arial" w:hAnsi="Arial" w:cs="Arial"/>
          <w:bCs/>
          <w:szCs w:val="24"/>
        </w:rPr>
      </w:pPr>
      <w:r w:rsidRPr="00BD08D4">
        <w:rPr>
          <w:rFonts w:ascii="Arial" w:hAnsi="Arial" w:cs="Arial"/>
          <w:szCs w:val="24"/>
        </w:rPr>
        <w:t xml:space="preserve">The overarching intended outcomes are the development of a facility suitable to house the </w:t>
      </w:r>
      <w:r w:rsidR="0002440A">
        <w:rPr>
          <w:rFonts w:ascii="Arial" w:hAnsi="Arial" w:cs="Arial"/>
          <w:szCs w:val="24"/>
        </w:rPr>
        <w:t>CRS</w:t>
      </w:r>
      <w:r w:rsidRPr="00BD08D4">
        <w:rPr>
          <w:rFonts w:ascii="Arial" w:hAnsi="Arial" w:cs="Arial"/>
          <w:szCs w:val="24"/>
        </w:rPr>
        <w:t xml:space="preserve">, and the initial period of operation of the </w:t>
      </w:r>
      <w:r w:rsidR="0002440A">
        <w:rPr>
          <w:rFonts w:ascii="Arial" w:hAnsi="Arial" w:cs="Arial"/>
          <w:szCs w:val="24"/>
        </w:rPr>
        <w:t>CRS</w:t>
      </w:r>
      <w:r w:rsidRPr="00BD08D4">
        <w:rPr>
          <w:rFonts w:ascii="Arial" w:hAnsi="Arial" w:cs="Arial"/>
          <w:szCs w:val="24"/>
        </w:rPr>
        <w:t xml:space="preserve"> Program. As a result of a </w:t>
      </w:r>
      <w:r w:rsidR="0002440A">
        <w:rPr>
          <w:rFonts w:ascii="Arial" w:hAnsi="Arial" w:cs="Arial"/>
          <w:szCs w:val="24"/>
        </w:rPr>
        <w:t>CRS</w:t>
      </w:r>
      <w:r w:rsidRPr="00BD08D4">
        <w:rPr>
          <w:rFonts w:ascii="Arial" w:hAnsi="Arial" w:cs="Arial"/>
          <w:szCs w:val="24"/>
        </w:rPr>
        <w:t xml:space="preserve"> put into operation, </w:t>
      </w:r>
      <w:r w:rsidRPr="00464C75">
        <w:rPr>
          <w:rFonts w:ascii="Arial" w:hAnsi="Arial" w:cs="Arial"/>
          <w:bCs/>
          <w:szCs w:val="24"/>
        </w:rPr>
        <w:t xml:space="preserve">the following </w:t>
      </w:r>
      <w:r w:rsidR="00790E51" w:rsidRPr="00464C75">
        <w:rPr>
          <w:rFonts w:ascii="Arial" w:hAnsi="Arial" w:cs="Arial"/>
          <w:bCs/>
          <w:szCs w:val="24"/>
        </w:rPr>
        <w:t>objectives</w:t>
      </w:r>
      <w:r w:rsidRPr="00464C75">
        <w:rPr>
          <w:rFonts w:ascii="Arial" w:hAnsi="Arial" w:cs="Arial"/>
          <w:bCs/>
          <w:szCs w:val="24"/>
        </w:rPr>
        <w:t xml:space="preserve"> are sought for our community, for those in need of Behavioral Health </w:t>
      </w:r>
      <w:r w:rsidR="00375C18" w:rsidRPr="00464C75">
        <w:rPr>
          <w:rFonts w:ascii="Arial" w:hAnsi="Arial" w:cs="Arial"/>
          <w:bCs/>
          <w:szCs w:val="24"/>
        </w:rPr>
        <w:t xml:space="preserve">crisis </w:t>
      </w:r>
      <w:r w:rsidRPr="00464C75">
        <w:rPr>
          <w:rFonts w:ascii="Arial" w:hAnsi="Arial" w:cs="Arial"/>
          <w:bCs/>
          <w:szCs w:val="24"/>
        </w:rPr>
        <w:t>care</w:t>
      </w:r>
      <w:r w:rsidRPr="00DC6391">
        <w:rPr>
          <w:rFonts w:ascii="Arial" w:hAnsi="Arial" w:cs="Arial"/>
          <w:bCs/>
          <w:szCs w:val="24"/>
        </w:rPr>
        <w:t>:</w:t>
      </w:r>
    </w:p>
    <w:p w14:paraId="00A73B31" w14:textId="6DFBE908" w:rsidR="009453F6" w:rsidRPr="00480CDE" w:rsidRDefault="00B54F09" w:rsidP="00464C75">
      <w:pPr>
        <w:pStyle w:val="ListParagraph"/>
        <w:numPr>
          <w:ilvl w:val="0"/>
          <w:numId w:val="45"/>
        </w:numPr>
        <w:spacing w:line="240" w:lineRule="auto"/>
        <w:contextualSpacing w:val="0"/>
        <w:jc w:val="both"/>
        <w:rPr>
          <w:rFonts w:ascii="Arial" w:hAnsi="Arial" w:cs="Arial"/>
          <w:szCs w:val="24"/>
        </w:rPr>
      </w:pPr>
      <w:r>
        <w:rPr>
          <w:rFonts w:ascii="Arial" w:hAnsi="Arial" w:cs="Arial"/>
          <w:szCs w:val="24"/>
        </w:rPr>
        <w:t>A</w:t>
      </w:r>
      <w:r w:rsidR="009453F6" w:rsidRPr="001921E7">
        <w:rPr>
          <w:rFonts w:ascii="Arial" w:hAnsi="Arial" w:cs="Arial"/>
          <w:szCs w:val="24"/>
        </w:rPr>
        <w:t xml:space="preserve"> single point entry into the Behavioral Health system, including immediate assessment and placement of adults </w:t>
      </w:r>
      <w:r w:rsidR="00EB5FEC">
        <w:rPr>
          <w:rFonts w:ascii="Arial" w:hAnsi="Arial" w:cs="Arial"/>
          <w:szCs w:val="24"/>
        </w:rPr>
        <w:t xml:space="preserve">and children </w:t>
      </w:r>
      <w:r w:rsidR="009453F6" w:rsidRPr="001921E7">
        <w:rPr>
          <w:rFonts w:ascii="Arial" w:hAnsi="Arial" w:cs="Arial"/>
          <w:szCs w:val="24"/>
        </w:rPr>
        <w:t xml:space="preserve">experiencing crises </w:t>
      </w:r>
      <w:r w:rsidR="00DC6391">
        <w:rPr>
          <w:rFonts w:ascii="Arial" w:hAnsi="Arial" w:cs="Arial"/>
          <w:szCs w:val="24"/>
        </w:rPr>
        <w:t xml:space="preserve">as defined </w:t>
      </w:r>
      <w:r w:rsidR="009453F6" w:rsidRPr="001921E7">
        <w:rPr>
          <w:rFonts w:ascii="Arial" w:hAnsi="Arial" w:cs="Arial"/>
          <w:szCs w:val="24"/>
        </w:rPr>
        <w:t>under Florida Statute</w:t>
      </w:r>
      <w:r w:rsidR="0013742E">
        <w:rPr>
          <w:rFonts w:ascii="Arial" w:hAnsi="Arial" w:cs="Arial"/>
          <w:szCs w:val="24"/>
        </w:rPr>
        <w:t xml:space="preserve"> </w:t>
      </w:r>
      <w:r w:rsidR="0013742E" w:rsidRPr="00480CDE">
        <w:rPr>
          <w:rFonts w:ascii="Arial" w:hAnsi="Arial" w:cs="Arial"/>
          <w:szCs w:val="24"/>
        </w:rPr>
        <w:t>to improve access to crisis and other services.</w:t>
      </w:r>
    </w:p>
    <w:p w14:paraId="2A96678C" w14:textId="307701B6" w:rsidR="009453F6" w:rsidRPr="001921E7" w:rsidRDefault="00B54F09" w:rsidP="00464C75">
      <w:pPr>
        <w:pStyle w:val="ListParagraph"/>
        <w:numPr>
          <w:ilvl w:val="0"/>
          <w:numId w:val="45"/>
        </w:numPr>
        <w:spacing w:line="240" w:lineRule="auto"/>
        <w:contextualSpacing w:val="0"/>
        <w:jc w:val="both"/>
        <w:rPr>
          <w:rFonts w:ascii="Arial" w:hAnsi="Arial" w:cs="Arial"/>
          <w:szCs w:val="24"/>
        </w:rPr>
      </w:pPr>
      <w:r>
        <w:rPr>
          <w:rFonts w:ascii="Arial" w:hAnsi="Arial" w:cs="Arial"/>
          <w:szCs w:val="24"/>
        </w:rPr>
        <w:t>T</w:t>
      </w:r>
      <w:r w:rsidR="009453F6" w:rsidRPr="001921E7">
        <w:rPr>
          <w:rFonts w:ascii="Arial" w:hAnsi="Arial" w:cs="Arial"/>
          <w:szCs w:val="24"/>
        </w:rPr>
        <w:t>he creation of a single point of entry for law enforcement</w:t>
      </w:r>
      <w:r w:rsidR="007E66AB">
        <w:rPr>
          <w:rFonts w:ascii="Arial" w:hAnsi="Arial" w:cs="Arial"/>
          <w:szCs w:val="24"/>
        </w:rPr>
        <w:t>,</w:t>
      </w:r>
      <w:r w:rsidR="009453F6" w:rsidRPr="001921E7">
        <w:rPr>
          <w:rFonts w:ascii="Arial" w:hAnsi="Arial" w:cs="Arial"/>
          <w:szCs w:val="24"/>
        </w:rPr>
        <w:t xml:space="preserve"> family members</w:t>
      </w:r>
      <w:r w:rsidR="0053122B">
        <w:rPr>
          <w:rFonts w:ascii="Arial" w:hAnsi="Arial" w:cs="Arial"/>
          <w:szCs w:val="24"/>
        </w:rPr>
        <w:t>/significant others</w:t>
      </w:r>
      <w:r w:rsidR="007E66AB">
        <w:rPr>
          <w:rFonts w:ascii="Arial" w:hAnsi="Arial" w:cs="Arial"/>
          <w:szCs w:val="24"/>
        </w:rPr>
        <w:t>, and individuals</w:t>
      </w:r>
      <w:r w:rsidR="009453F6" w:rsidRPr="001921E7">
        <w:rPr>
          <w:rFonts w:ascii="Arial" w:hAnsi="Arial" w:cs="Arial"/>
          <w:szCs w:val="24"/>
        </w:rPr>
        <w:t>, saving time and resources to get people the help they need.</w:t>
      </w:r>
    </w:p>
    <w:p w14:paraId="670F27CC" w14:textId="14CDDD37" w:rsidR="009453F6" w:rsidRPr="001921E7" w:rsidRDefault="00B54F09" w:rsidP="00464C75">
      <w:pPr>
        <w:pStyle w:val="ListParagraph"/>
        <w:numPr>
          <w:ilvl w:val="0"/>
          <w:numId w:val="45"/>
        </w:numPr>
        <w:spacing w:line="240" w:lineRule="auto"/>
        <w:contextualSpacing w:val="0"/>
        <w:jc w:val="both"/>
        <w:rPr>
          <w:rFonts w:ascii="Arial" w:hAnsi="Arial" w:cs="Arial"/>
          <w:szCs w:val="24"/>
        </w:rPr>
      </w:pPr>
      <w:r>
        <w:rPr>
          <w:rFonts w:ascii="Arial" w:hAnsi="Arial" w:cs="Arial"/>
          <w:szCs w:val="24"/>
        </w:rPr>
        <w:lastRenderedPageBreak/>
        <w:t>A</w:t>
      </w:r>
      <w:r w:rsidR="009453F6" w:rsidRPr="001921E7">
        <w:rPr>
          <w:rFonts w:ascii="Arial" w:hAnsi="Arial" w:cs="Arial"/>
          <w:szCs w:val="24"/>
        </w:rPr>
        <w:t xml:space="preserve"> pre-arrest diversion method so that citizens needing crisis care are not placed in unnecessary settings such as </w:t>
      </w:r>
      <w:r>
        <w:rPr>
          <w:rFonts w:ascii="Arial" w:hAnsi="Arial" w:cs="Arial"/>
          <w:szCs w:val="24"/>
        </w:rPr>
        <w:t>j</w:t>
      </w:r>
      <w:r w:rsidRPr="001921E7">
        <w:rPr>
          <w:rFonts w:ascii="Arial" w:hAnsi="Arial" w:cs="Arial"/>
          <w:szCs w:val="24"/>
        </w:rPr>
        <w:t>ail but</w:t>
      </w:r>
      <w:r w:rsidR="009453F6" w:rsidRPr="001921E7">
        <w:rPr>
          <w:rFonts w:ascii="Arial" w:hAnsi="Arial" w:cs="Arial"/>
          <w:szCs w:val="24"/>
        </w:rPr>
        <w:t xml:space="preserve"> are diverted into appropriate treatment while respecting public safety needs.</w:t>
      </w:r>
    </w:p>
    <w:p w14:paraId="4B769C75" w14:textId="59250E72" w:rsidR="009453F6" w:rsidRPr="00480CDE" w:rsidRDefault="00B54F09" w:rsidP="00464C75">
      <w:pPr>
        <w:pStyle w:val="ListParagraph"/>
        <w:numPr>
          <w:ilvl w:val="0"/>
          <w:numId w:val="45"/>
        </w:numPr>
        <w:spacing w:line="240" w:lineRule="auto"/>
        <w:contextualSpacing w:val="0"/>
        <w:jc w:val="both"/>
        <w:rPr>
          <w:rFonts w:ascii="Arial" w:hAnsi="Arial" w:cs="Arial"/>
          <w:szCs w:val="24"/>
        </w:rPr>
      </w:pPr>
      <w:r>
        <w:rPr>
          <w:rFonts w:ascii="Arial" w:hAnsi="Arial" w:cs="Arial"/>
          <w:szCs w:val="24"/>
        </w:rPr>
        <w:t>A</w:t>
      </w:r>
      <w:r w:rsidR="009453F6" w:rsidRPr="001921E7">
        <w:rPr>
          <w:rFonts w:ascii="Arial" w:hAnsi="Arial" w:cs="Arial"/>
          <w:szCs w:val="24"/>
        </w:rPr>
        <w:t xml:space="preserve">n alternative to hospitalization, including the unnecessary use of hospital-based emergency departments, reducing costly and inappropriate </w:t>
      </w:r>
      <w:r w:rsidR="009453F6" w:rsidRPr="00480CDE">
        <w:rPr>
          <w:rFonts w:ascii="Arial" w:hAnsi="Arial" w:cs="Arial"/>
          <w:szCs w:val="24"/>
        </w:rPr>
        <w:t>care</w:t>
      </w:r>
      <w:r w:rsidR="0013742E" w:rsidRPr="00480CDE">
        <w:rPr>
          <w:rFonts w:ascii="Arial" w:hAnsi="Arial" w:cs="Arial"/>
          <w:szCs w:val="24"/>
        </w:rPr>
        <w:t xml:space="preserve"> especially for our more vulnerable citizens</w:t>
      </w:r>
      <w:r w:rsidR="009453F6" w:rsidRPr="00480CDE">
        <w:rPr>
          <w:rFonts w:ascii="Arial" w:hAnsi="Arial" w:cs="Arial"/>
          <w:szCs w:val="24"/>
        </w:rPr>
        <w:t>.</w:t>
      </w:r>
    </w:p>
    <w:p w14:paraId="34BE8953" w14:textId="3AB6C1FA" w:rsidR="00A964D4" w:rsidRDefault="00B54F09" w:rsidP="00464C75">
      <w:pPr>
        <w:pStyle w:val="ListParagraph"/>
        <w:numPr>
          <w:ilvl w:val="0"/>
          <w:numId w:val="45"/>
        </w:numPr>
        <w:spacing w:line="240" w:lineRule="auto"/>
        <w:contextualSpacing w:val="0"/>
        <w:jc w:val="both"/>
        <w:rPr>
          <w:rFonts w:ascii="Arial" w:hAnsi="Arial" w:cs="Arial"/>
          <w:szCs w:val="24"/>
        </w:rPr>
      </w:pPr>
      <w:r>
        <w:rPr>
          <w:rFonts w:ascii="Arial" w:hAnsi="Arial" w:cs="Arial"/>
          <w:szCs w:val="24"/>
        </w:rPr>
        <w:t>A</w:t>
      </w:r>
      <w:r w:rsidR="00A964D4">
        <w:rPr>
          <w:rFonts w:ascii="Arial" w:hAnsi="Arial" w:cs="Arial"/>
          <w:szCs w:val="24"/>
        </w:rPr>
        <w:t xml:space="preserve">n alternative to </w:t>
      </w:r>
      <w:r w:rsidR="00FC033F">
        <w:rPr>
          <w:rFonts w:ascii="Arial" w:hAnsi="Arial" w:cs="Arial"/>
          <w:szCs w:val="24"/>
        </w:rPr>
        <w:t>avoidable Crisis Stabilization Unit admission</w:t>
      </w:r>
      <w:r w:rsidR="009372EC">
        <w:rPr>
          <w:rFonts w:ascii="Arial" w:hAnsi="Arial" w:cs="Arial"/>
          <w:szCs w:val="24"/>
        </w:rPr>
        <w:t xml:space="preserve"> </w:t>
      </w:r>
      <w:r>
        <w:rPr>
          <w:rFonts w:ascii="Arial" w:hAnsi="Arial" w:cs="Arial"/>
          <w:szCs w:val="24"/>
        </w:rPr>
        <w:t xml:space="preserve">through </w:t>
      </w:r>
      <w:r w:rsidR="009372EC">
        <w:rPr>
          <w:rFonts w:ascii="Arial" w:hAnsi="Arial" w:cs="Arial"/>
          <w:szCs w:val="24"/>
        </w:rPr>
        <w:t>linkage to ongoing treatment</w:t>
      </w:r>
      <w:r>
        <w:rPr>
          <w:rFonts w:ascii="Arial" w:hAnsi="Arial" w:cs="Arial"/>
          <w:szCs w:val="24"/>
        </w:rPr>
        <w:t xml:space="preserve"> like outpatient services</w:t>
      </w:r>
      <w:r w:rsidR="00FC033F">
        <w:rPr>
          <w:rFonts w:ascii="Arial" w:hAnsi="Arial" w:cs="Arial"/>
          <w:szCs w:val="24"/>
        </w:rPr>
        <w:t xml:space="preserve">. </w:t>
      </w:r>
    </w:p>
    <w:p w14:paraId="39A0D6C5" w14:textId="103C7395" w:rsidR="00C744B4" w:rsidRDefault="00B54F09" w:rsidP="00464C75">
      <w:pPr>
        <w:pStyle w:val="ListParagraph"/>
        <w:numPr>
          <w:ilvl w:val="0"/>
          <w:numId w:val="45"/>
        </w:numPr>
        <w:spacing w:line="240" w:lineRule="auto"/>
        <w:contextualSpacing w:val="0"/>
        <w:jc w:val="both"/>
        <w:rPr>
          <w:rFonts w:ascii="Arial" w:hAnsi="Arial" w:cs="Arial"/>
          <w:szCs w:val="24"/>
        </w:rPr>
      </w:pPr>
      <w:r>
        <w:rPr>
          <w:rFonts w:ascii="Arial" w:hAnsi="Arial" w:cs="Arial"/>
          <w:szCs w:val="24"/>
        </w:rPr>
        <w:t>P</w:t>
      </w:r>
      <w:r w:rsidR="001F5FB4">
        <w:rPr>
          <w:rFonts w:ascii="Arial" w:hAnsi="Arial" w:cs="Arial"/>
          <w:szCs w:val="24"/>
        </w:rPr>
        <w:t>rovide a 23</w:t>
      </w:r>
      <w:r w:rsidR="00525224">
        <w:rPr>
          <w:rFonts w:ascii="Arial" w:hAnsi="Arial" w:cs="Arial"/>
          <w:szCs w:val="24"/>
        </w:rPr>
        <w:t>-</w:t>
      </w:r>
      <w:r w:rsidR="001F5FB4">
        <w:rPr>
          <w:rFonts w:ascii="Arial" w:hAnsi="Arial" w:cs="Arial"/>
          <w:szCs w:val="24"/>
        </w:rPr>
        <w:t>hour hold for patient safety and provide timely transfer to partner receiving facilities</w:t>
      </w:r>
      <w:r w:rsidR="00CA50B1">
        <w:rPr>
          <w:rFonts w:ascii="Arial" w:hAnsi="Arial" w:cs="Arial"/>
          <w:szCs w:val="24"/>
        </w:rPr>
        <w:t xml:space="preserve"> </w:t>
      </w:r>
      <w:r w:rsidR="007B4C54">
        <w:rPr>
          <w:rFonts w:ascii="Arial" w:hAnsi="Arial" w:cs="Arial"/>
          <w:szCs w:val="24"/>
        </w:rPr>
        <w:t>where indicated</w:t>
      </w:r>
      <w:r>
        <w:rPr>
          <w:rFonts w:ascii="Arial" w:hAnsi="Arial" w:cs="Arial"/>
          <w:szCs w:val="24"/>
        </w:rPr>
        <w:t>.</w:t>
      </w:r>
      <w:r w:rsidR="007B4C54">
        <w:rPr>
          <w:rFonts w:ascii="Arial" w:hAnsi="Arial" w:cs="Arial"/>
          <w:szCs w:val="24"/>
        </w:rPr>
        <w:t xml:space="preserve"> </w:t>
      </w:r>
    </w:p>
    <w:p w14:paraId="205D007C" w14:textId="2FDF27EC" w:rsidR="009453F6" w:rsidRPr="00480CDE" w:rsidRDefault="00B54F09" w:rsidP="00464C75">
      <w:pPr>
        <w:pStyle w:val="ListParagraph"/>
        <w:numPr>
          <w:ilvl w:val="0"/>
          <w:numId w:val="45"/>
        </w:numPr>
        <w:spacing w:line="240" w:lineRule="auto"/>
        <w:contextualSpacing w:val="0"/>
        <w:jc w:val="both"/>
        <w:rPr>
          <w:rFonts w:ascii="Arial" w:hAnsi="Arial" w:cs="Arial"/>
          <w:szCs w:val="24"/>
        </w:rPr>
      </w:pPr>
      <w:r>
        <w:rPr>
          <w:rFonts w:ascii="Arial" w:hAnsi="Arial" w:cs="Arial"/>
          <w:szCs w:val="24"/>
        </w:rPr>
        <w:t>S</w:t>
      </w:r>
      <w:r w:rsidR="009453F6" w:rsidRPr="001921E7">
        <w:rPr>
          <w:rFonts w:ascii="Arial" w:hAnsi="Arial" w:cs="Arial"/>
          <w:szCs w:val="24"/>
        </w:rPr>
        <w:t xml:space="preserve">ignificantly enhanced coordination of care for those in crisis, including timely access to and </w:t>
      </w:r>
      <w:r w:rsidR="009453F6" w:rsidRPr="00480CDE">
        <w:rPr>
          <w:rFonts w:ascii="Arial" w:hAnsi="Arial" w:cs="Arial"/>
          <w:szCs w:val="24"/>
        </w:rPr>
        <w:t>tracking of efforts for follow up care</w:t>
      </w:r>
      <w:r w:rsidRPr="00480CDE">
        <w:rPr>
          <w:rFonts w:ascii="Arial" w:hAnsi="Arial" w:cs="Arial"/>
          <w:szCs w:val="24"/>
        </w:rPr>
        <w:t>.</w:t>
      </w:r>
      <w:r w:rsidR="009453F6" w:rsidRPr="00480CDE">
        <w:rPr>
          <w:rFonts w:ascii="Arial" w:hAnsi="Arial" w:cs="Arial"/>
          <w:szCs w:val="24"/>
        </w:rPr>
        <w:t xml:space="preserve">  </w:t>
      </w:r>
    </w:p>
    <w:p w14:paraId="2AE84F91" w14:textId="1F65D7D1" w:rsidR="009453F6" w:rsidRPr="00480CDE" w:rsidRDefault="00B54F09" w:rsidP="00464C75">
      <w:pPr>
        <w:pStyle w:val="ListParagraph"/>
        <w:numPr>
          <w:ilvl w:val="0"/>
          <w:numId w:val="45"/>
        </w:numPr>
        <w:spacing w:line="240" w:lineRule="auto"/>
        <w:contextualSpacing w:val="0"/>
        <w:jc w:val="both"/>
        <w:rPr>
          <w:rFonts w:ascii="Arial" w:hAnsi="Arial" w:cs="Arial"/>
          <w:szCs w:val="24"/>
        </w:rPr>
      </w:pPr>
      <w:r w:rsidRPr="00480CDE">
        <w:rPr>
          <w:rFonts w:ascii="Arial" w:hAnsi="Arial" w:cs="Arial"/>
          <w:szCs w:val="24"/>
        </w:rPr>
        <w:t>I</w:t>
      </w:r>
      <w:r w:rsidR="009453F6" w:rsidRPr="00480CDE">
        <w:rPr>
          <w:rFonts w:ascii="Arial" w:hAnsi="Arial" w:cs="Arial"/>
          <w:szCs w:val="24"/>
        </w:rPr>
        <w:t>mproved data sharing across the system, to enable better planning and support greater quality of Care and Coordination</w:t>
      </w:r>
      <w:r w:rsidR="00FB6106" w:rsidRPr="00480CDE">
        <w:rPr>
          <w:rFonts w:ascii="Arial" w:hAnsi="Arial" w:cs="Arial"/>
          <w:szCs w:val="24"/>
        </w:rPr>
        <w:t xml:space="preserve"> </w:t>
      </w:r>
      <w:r w:rsidR="0013742E" w:rsidRPr="00480CDE">
        <w:rPr>
          <w:rFonts w:ascii="Arial" w:hAnsi="Arial" w:cs="Arial"/>
          <w:szCs w:val="24"/>
        </w:rPr>
        <w:t xml:space="preserve">to </w:t>
      </w:r>
      <w:r w:rsidR="00FB6106" w:rsidRPr="00480CDE">
        <w:rPr>
          <w:rFonts w:ascii="Arial" w:hAnsi="Arial" w:cs="Arial"/>
          <w:szCs w:val="24"/>
        </w:rPr>
        <w:t>address healthcare disparities within vulnerable populations</w:t>
      </w:r>
      <w:r w:rsidRPr="00480CDE">
        <w:rPr>
          <w:rFonts w:ascii="Arial" w:hAnsi="Arial" w:cs="Arial"/>
          <w:szCs w:val="24"/>
        </w:rPr>
        <w:t>.</w:t>
      </w:r>
    </w:p>
    <w:p w14:paraId="3B1FAA1C" w14:textId="53FA9187" w:rsidR="0097600E" w:rsidRPr="001921E7" w:rsidRDefault="00B54F09" w:rsidP="00464C75">
      <w:pPr>
        <w:pStyle w:val="ListParagraph"/>
        <w:numPr>
          <w:ilvl w:val="0"/>
          <w:numId w:val="45"/>
        </w:numPr>
        <w:spacing w:line="240" w:lineRule="auto"/>
        <w:contextualSpacing w:val="0"/>
        <w:rPr>
          <w:rFonts w:ascii="Arial" w:hAnsi="Arial" w:cs="Arial"/>
          <w:szCs w:val="24"/>
        </w:rPr>
      </w:pPr>
      <w:r>
        <w:rPr>
          <w:rFonts w:ascii="Arial" w:hAnsi="Arial" w:cs="Arial"/>
          <w:szCs w:val="24"/>
        </w:rPr>
        <w:t>S</w:t>
      </w:r>
      <w:r w:rsidR="0097600E">
        <w:rPr>
          <w:rFonts w:ascii="Arial" w:hAnsi="Arial" w:cs="Arial"/>
          <w:szCs w:val="24"/>
        </w:rPr>
        <w:t>trive to achieve service delivery impact demonstrating greater equity and inclusion for those who have been disproportionately impacted by COVID-19 through community</w:t>
      </w:r>
      <w:r>
        <w:rPr>
          <w:rFonts w:ascii="Arial" w:hAnsi="Arial" w:cs="Arial"/>
          <w:szCs w:val="24"/>
        </w:rPr>
        <w:t xml:space="preserve"> </w:t>
      </w:r>
      <w:r w:rsidR="0097600E">
        <w:rPr>
          <w:rFonts w:ascii="Arial" w:hAnsi="Arial" w:cs="Arial"/>
          <w:szCs w:val="24"/>
        </w:rPr>
        <w:t>engagement</w:t>
      </w:r>
      <w:r>
        <w:rPr>
          <w:rFonts w:ascii="Arial" w:hAnsi="Arial" w:cs="Arial"/>
          <w:szCs w:val="24"/>
        </w:rPr>
        <w:t xml:space="preserve"> and </w:t>
      </w:r>
      <w:r w:rsidR="0097600E">
        <w:rPr>
          <w:rFonts w:ascii="Arial" w:hAnsi="Arial" w:cs="Arial"/>
          <w:szCs w:val="24"/>
        </w:rPr>
        <w:t>outreach.</w:t>
      </w:r>
    </w:p>
    <w:p w14:paraId="72731E12" w14:textId="18D7CC89" w:rsidR="00B90454" w:rsidRPr="00835E26" w:rsidRDefault="00B90454" w:rsidP="001921E7">
      <w:pPr>
        <w:tabs>
          <w:tab w:val="left" w:pos="7050"/>
        </w:tabs>
        <w:jc w:val="both"/>
        <w:rPr>
          <w:rFonts w:ascii="Arial" w:hAnsi="Arial" w:cs="Arial"/>
          <w:b/>
        </w:rPr>
      </w:pPr>
      <w:r w:rsidRPr="00285473">
        <w:rPr>
          <w:rFonts w:ascii="Arial" w:hAnsi="Arial" w:cs="Arial"/>
          <w:b/>
        </w:rPr>
        <w:t>Uses of Funds</w:t>
      </w:r>
    </w:p>
    <w:p w14:paraId="2CC8B557" w14:textId="0400A78B" w:rsidR="005F2039" w:rsidRPr="00BD08D4" w:rsidRDefault="005F2039" w:rsidP="001921E7">
      <w:pPr>
        <w:tabs>
          <w:tab w:val="left" w:pos="7050"/>
        </w:tabs>
        <w:jc w:val="both"/>
        <w:rPr>
          <w:rFonts w:ascii="Arial" w:hAnsi="Arial" w:cs="Arial"/>
          <w:iCs/>
        </w:rPr>
      </w:pPr>
      <w:r>
        <w:rPr>
          <w:rFonts w:ascii="Arial" w:hAnsi="Arial" w:cs="Arial"/>
          <w:iCs/>
        </w:rPr>
        <w:t xml:space="preserve">The Expenditure </w:t>
      </w:r>
      <w:r w:rsidR="12CB56F0" w:rsidRPr="12CB56F0">
        <w:rPr>
          <w:rFonts w:ascii="Arial" w:hAnsi="Arial" w:cs="Arial"/>
        </w:rPr>
        <w:t>Category</w:t>
      </w:r>
      <w:r>
        <w:rPr>
          <w:rFonts w:ascii="Arial" w:hAnsi="Arial" w:cs="Arial"/>
          <w:iCs/>
        </w:rPr>
        <w:t xml:space="preserve"> under which this particular Alachua County project falls is Public Health (EC1</w:t>
      </w:r>
      <w:r w:rsidR="00A04C4E">
        <w:rPr>
          <w:rFonts w:ascii="Arial" w:hAnsi="Arial" w:cs="Arial"/>
          <w:iCs/>
        </w:rPr>
        <w:t>.10 and EC1.11</w:t>
      </w:r>
      <w:r>
        <w:rPr>
          <w:rFonts w:ascii="Arial" w:hAnsi="Arial" w:cs="Arial"/>
          <w:iCs/>
        </w:rPr>
        <w:t>).</w:t>
      </w:r>
    </w:p>
    <w:p w14:paraId="0D56C3C2" w14:textId="34FCA11D" w:rsidR="0014588E" w:rsidRPr="0002072A" w:rsidRDefault="0014588E" w:rsidP="001921E7">
      <w:pPr>
        <w:jc w:val="both"/>
        <w:rPr>
          <w:rFonts w:ascii="Arial" w:hAnsi="Arial" w:cs="Arial"/>
          <w:szCs w:val="24"/>
        </w:rPr>
      </w:pPr>
      <w:r w:rsidRPr="0002072A">
        <w:rPr>
          <w:rFonts w:ascii="Arial" w:hAnsi="Arial" w:cs="Arial"/>
          <w:szCs w:val="24"/>
        </w:rPr>
        <w:t xml:space="preserve">SLFRF funds are sought for the purpose of </w:t>
      </w:r>
      <w:r w:rsidR="00B54F09">
        <w:rPr>
          <w:rFonts w:ascii="Arial" w:hAnsi="Arial" w:cs="Arial"/>
          <w:szCs w:val="24"/>
        </w:rPr>
        <w:t xml:space="preserve">supporting the </w:t>
      </w:r>
      <w:r w:rsidRPr="0002072A">
        <w:rPr>
          <w:rFonts w:ascii="Arial" w:hAnsi="Arial" w:cs="Arial"/>
          <w:szCs w:val="24"/>
        </w:rPr>
        <w:t>operation of the C</w:t>
      </w:r>
      <w:r w:rsidR="00E72F29" w:rsidRPr="0002072A">
        <w:rPr>
          <w:rFonts w:ascii="Arial" w:hAnsi="Arial" w:cs="Arial"/>
          <w:szCs w:val="24"/>
        </w:rPr>
        <w:t>R</w:t>
      </w:r>
      <w:r w:rsidR="00645E36">
        <w:rPr>
          <w:rFonts w:ascii="Arial" w:hAnsi="Arial" w:cs="Arial"/>
          <w:szCs w:val="24"/>
        </w:rPr>
        <w:t>S</w:t>
      </w:r>
      <w:r w:rsidR="00E72F29" w:rsidRPr="0002072A">
        <w:rPr>
          <w:rFonts w:ascii="Arial" w:hAnsi="Arial" w:cs="Arial"/>
          <w:szCs w:val="24"/>
        </w:rPr>
        <w:t xml:space="preserve"> </w:t>
      </w:r>
      <w:r w:rsidRPr="0002072A">
        <w:rPr>
          <w:rFonts w:ascii="Arial" w:hAnsi="Arial" w:cs="Arial"/>
          <w:szCs w:val="24"/>
        </w:rPr>
        <w:t xml:space="preserve">for </w:t>
      </w:r>
      <w:r w:rsidR="00E72F29" w:rsidRPr="0002072A">
        <w:rPr>
          <w:rFonts w:ascii="Arial" w:hAnsi="Arial" w:cs="Arial"/>
          <w:szCs w:val="24"/>
        </w:rPr>
        <w:t>its</w:t>
      </w:r>
      <w:r w:rsidRPr="0002072A">
        <w:rPr>
          <w:rFonts w:ascii="Arial" w:hAnsi="Arial" w:cs="Arial"/>
          <w:szCs w:val="24"/>
        </w:rPr>
        <w:t xml:space="preserve"> </w:t>
      </w:r>
      <w:r w:rsidR="00B54F09">
        <w:rPr>
          <w:rFonts w:ascii="Arial" w:hAnsi="Arial" w:cs="Arial"/>
          <w:szCs w:val="24"/>
        </w:rPr>
        <w:t>first 18 months of operation</w:t>
      </w:r>
      <w:r w:rsidRPr="0002072A">
        <w:rPr>
          <w:rFonts w:ascii="Arial" w:hAnsi="Arial" w:cs="Arial"/>
          <w:szCs w:val="24"/>
        </w:rPr>
        <w:t xml:space="preserve">.  </w:t>
      </w:r>
      <w:r w:rsidR="00625D93">
        <w:rPr>
          <w:rFonts w:ascii="Arial" w:hAnsi="Arial" w:cs="Arial"/>
          <w:szCs w:val="24"/>
        </w:rPr>
        <w:t>A new CRS for Alachua County requires funding</w:t>
      </w:r>
      <w:r w:rsidRPr="0002072A">
        <w:rPr>
          <w:rFonts w:ascii="Arial" w:hAnsi="Arial" w:cs="Arial"/>
          <w:szCs w:val="24"/>
        </w:rPr>
        <w:t xml:space="preserve"> of $</w:t>
      </w:r>
      <w:r w:rsidR="00CE02A9">
        <w:rPr>
          <w:rFonts w:ascii="Arial" w:hAnsi="Arial" w:cs="Arial"/>
          <w:szCs w:val="24"/>
        </w:rPr>
        <w:t>1,</w:t>
      </w:r>
      <w:r w:rsidRPr="0002072A">
        <w:rPr>
          <w:rFonts w:ascii="Arial" w:hAnsi="Arial" w:cs="Arial"/>
          <w:szCs w:val="24"/>
        </w:rPr>
        <w:t xml:space="preserve">500,000 to </w:t>
      </w:r>
      <w:r w:rsidR="00625D93">
        <w:rPr>
          <w:rFonts w:ascii="Arial" w:hAnsi="Arial" w:cs="Arial"/>
          <w:szCs w:val="24"/>
        </w:rPr>
        <w:t xml:space="preserve">construct an attached facility at </w:t>
      </w:r>
      <w:r w:rsidRPr="0002072A">
        <w:rPr>
          <w:rFonts w:ascii="Arial" w:hAnsi="Arial" w:cs="Arial"/>
          <w:szCs w:val="24"/>
        </w:rPr>
        <w:t xml:space="preserve">MBHC to </w:t>
      </w:r>
      <w:r w:rsidR="00625D93">
        <w:rPr>
          <w:rFonts w:ascii="Arial" w:hAnsi="Arial" w:cs="Arial"/>
          <w:szCs w:val="24"/>
        </w:rPr>
        <w:t xml:space="preserve">provide the space needed for </w:t>
      </w:r>
      <w:r w:rsidRPr="0002072A">
        <w:rPr>
          <w:rFonts w:ascii="Arial" w:hAnsi="Arial" w:cs="Arial"/>
          <w:szCs w:val="24"/>
        </w:rPr>
        <w:t xml:space="preserve">the screening activities to be carried out by the </w:t>
      </w:r>
      <w:r w:rsidR="0002440A">
        <w:rPr>
          <w:rFonts w:ascii="Arial" w:hAnsi="Arial" w:cs="Arial"/>
          <w:szCs w:val="24"/>
        </w:rPr>
        <w:t>CRS</w:t>
      </w:r>
      <w:r w:rsidRPr="0002072A">
        <w:rPr>
          <w:rFonts w:ascii="Arial" w:hAnsi="Arial" w:cs="Arial"/>
          <w:szCs w:val="24"/>
        </w:rPr>
        <w:t xml:space="preserve">.  </w:t>
      </w:r>
      <w:r w:rsidR="00625D93">
        <w:rPr>
          <w:rFonts w:ascii="Arial" w:hAnsi="Arial" w:cs="Arial"/>
          <w:szCs w:val="24"/>
        </w:rPr>
        <w:t>Alachua County and the City of Gainesville have committed local funding in addition to a one</w:t>
      </w:r>
      <w:r w:rsidR="00D7713C">
        <w:rPr>
          <w:rFonts w:ascii="Arial" w:hAnsi="Arial" w:cs="Arial"/>
          <w:szCs w:val="24"/>
        </w:rPr>
        <w:t>-</w:t>
      </w:r>
      <w:r w:rsidR="00625D93">
        <w:rPr>
          <w:rFonts w:ascii="Arial" w:hAnsi="Arial" w:cs="Arial"/>
          <w:szCs w:val="24"/>
        </w:rPr>
        <w:t>time award from the State of Florida to provide for the construction</w:t>
      </w:r>
      <w:r w:rsidRPr="0002072A">
        <w:rPr>
          <w:rFonts w:ascii="Arial" w:hAnsi="Arial" w:cs="Arial"/>
          <w:szCs w:val="24"/>
        </w:rPr>
        <w:t xml:space="preserve">. </w:t>
      </w:r>
    </w:p>
    <w:p w14:paraId="2F0E6132" w14:textId="3C5115E2" w:rsidR="0014588E" w:rsidRPr="0002072A" w:rsidRDefault="0014588E" w:rsidP="001921E7">
      <w:pPr>
        <w:jc w:val="both"/>
        <w:rPr>
          <w:rFonts w:ascii="Arial" w:hAnsi="Arial" w:cs="Arial"/>
          <w:szCs w:val="24"/>
        </w:rPr>
      </w:pPr>
      <w:r w:rsidRPr="0002072A">
        <w:rPr>
          <w:rFonts w:ascii="Arial" w:hAnsi="Arial" w:cs="Arial"/>
          <w:szCs w:val="24"/>
        </w:rPr>
        <w:t xml:space="preserve">The second </w:t>
      </w:r>
      <w:r w:rsidR="0002440A">
        <w:rPr>
          <w:rFonts w:ascii="Arial" w:hAnsi="Arial" w:cs="Arial"/>
          <w:szCs w:val="24"/>
        </w:rPr>
        <w:t>CRS</w:t>
      </w:r>
      <w:r w:rsidRPr="0002072A">
        <w:rPr>
          <w:rFonts w:ascii="Arial" w:hAnsi="Arial" w:cs="Arial"/>
          <w:szCs w:val="24"/>
        </w:rPr>
        <w:t xml:space="preserve"> </w:t>
      </w:r>
      <w:r w:rsidR="00625D93">
        <w:rPr>
          <w:rFonts w:ascii="Arial" w:hAnsi="Arial" w:cs="Arial"/>
          <w:szCs w:val="24"/>
        </w:rPr>
        <w:t xml:space="preserve">funding </w:t>
      </w:r>
      <w:r w:rsidRPr="0002072A">
        <w:rPr>
          <w:rFonts w:ascii="Arial" w:hAnsi="Arial" w:cs="Arial"/>
          <w:szCs w:val="24"/>
        </w:rPr>
        <w:t xml:space="preserve">component requires support for the staffing, administrative and related costs necessary to operationalize the </w:t>
      </w:r>
      <w:r w:rsidR="0002440A">
        <w:rPr>
          <w:rFonts w:ascii="Arial" w:hAnsi="Arial" w:cs="Arial"/>
          <w:szCs w:val="24"/>
        </w:rPr>
        <w:t>CRS</w:t>
      </w:r>
      <w:r w:rsidRPr="0002072A">
        <w:rPr>
          <w:rFonts w:ascii="Arial" w:hAnsi="Arial" w:cs="Arial"/>
          <w:szCs w:val="24"/>
        </w:rPr>
        <w:t xml:space="preserve">, for 24 hour/7 day, 365 per year coverage. The estimated total </w:t>
      </w:r>
      <w:r w:rsidR="00414DB5">
        <w:rPr>
          <w:rFonts w:ascii="Arial" w:hAnsi="Arial" w:cs="Arial"/>
          <w:szCs w:val="24"/>
        </w:rPr>
        <w:t>expense</w:t>
      </w:r>
      <w:r w:rsidR="00414DB5" w:rsidRPr="0002072A">
        <w:rPr>
          <w:rFonts w:ascii="Arial" w:hAnsi="Arial" w:cs="Arial"/>
          <w:szCs w:val="24"/>
        </w:rPr>
        <w:t xml:space="preserve"> </w:t>
      </w:r>
      <w:r w:rsidRPr="0002072A">
        <w:rPr>
          <w:rFonts w:ascii="Arial" w:hAnsi="Arial" w:cs="Arial"/>
          <w:szCs w:val="24"/>
        </w:rPr>
        <w:t>is $</w:t>
      </w:r>
      <w:r w:rsidR="0092127A">
        <w:rPr>
          <w:rFonts w:ascii="Arial" w:hAnsi="Arial" w:cs="Arial"/>
          <w:szCs w:val="24"/>
        </w:rPr>
        <w:t>2,500,000</w:t>
      </w:r>
      <w:r w:rsidRPr="0002072A">
        <w:rPr>
          <w:rFonts w:ascii="Arial" w:hAnsi="Arial" w:cs="Arial"/>
          <w:szCs w:val="24"/>
        </w:rPr>
        <w:t xml:space="preserve"> in operating costs for the start-up period. The </w:t>
      </w:r>
      <w:r w:rsidR="002911A8">
        <w:rPr>
          <w:rFonts w:ascii="Arial" w:hAnsi="Arial" w:cs="Arial"/>
          <w:szCs w:val="24"/>
        </w:rPr>
        <w:t xml:space="preserve">provider will seek </w:t>
      </w:r>
      <w:r w:rsidR="00766A04">
        <w:rPr>
          <w:rFonts w:ascii="Arial" w:hAnsi="Arial" w:cs="Arial"/>
          <w:szCs w:val="24"/>
        </w:rPr>
        <w:t xml:space="preserve">Federal and State </w:t>
      </w:r>
      <w:r w:rsidR="002B2F1A" w:rsidRPr="0002072A">
        <w:rPr>
          <w:rFonts w:ascii="Arial" w:hAnsi="Arial" w:cs="Arial"/>
          <w:szCs w:val="24"/>
        </w:rPr>
        <w:t xml:space="preserve">revenue </w:t>
      </w:r>
      <w:r w:rsidR="00263185">
        <w:rPr>
          <w:rFonts w:ascii="Arial" w:hAnsi="Arial" w:cs="Arial"/>
          <w:szCs w:val="24"/>
        </w:rPr>
        <w:t xml:space="preserve">as well as </w:t>
      </w:r>
      <w:r w:rsidR="00FA4D2B">
        <w:rPr>
          <w:rFonts w:ascii="Arial" w:hAnsi="Arial" w:cs="Arial"/>
          <w:szCs w:val="24"/>
        </w:rPr>
        <w:t>insurance</w:t>
      </w:r>
      <w:r w:rsidRPr="0002072A">
        <w:rPr>
          <w:rFonts w:ascii="Arial" w:hAnsi="Arial" w:cs="Arial"/>
          <w:szCs w:val="24"/>
        </w:rPr>
        <w:t xml:space="preserve"> reimbursement</w:t>
      </w:r>
      <w:r w:rsidR="00625D93">
        <w:rPr>
          <w:rFonts w:ascii="Arial" w:hAnsi="Arial" w:cs="Arial"/>
          <w:szCs w:val="24"/>
        </w:rPr>
        <w:t>s to cover a portion of the operating cost</w:t>
      </w:r>
      <w:r w:rsidRPr="00480CDE">
        <w:rPr>
          <w:rFonts w:ascii="Arial" w:hAnsi="Arial" w:cs="Arial"/>
          <w:szCs w:val="24"/>
        </w:rPr>
        <w:t xml:space="preserve">. </w:t>
      </w:r>
      <w:r w:rsidR="0013742E" w:rsidRPr="00480CDE">
        <w:rPr>
          <w:rFonts w:ascii="Arial" w:hAnsi="Arial" w:cs="Arial"/>
          <w:szCs w:val="24"/>
        </w:rPr>
        <w:t xml:space="preserve">Lutheran Services of Florida has committed $500,000.00 towards the operating cost for </w:t>
      </w:r>
      <w:r w:rsidR="00480CDE">
        <w:rPr>
          <w:rFonts w:ascii="Arial" w:hAnsi="Arial" w:cs="Arial"/>
          <w:szCs w:val="24"/>
        </w:rPr>
        <w:t>S</w:t>
      </w:r>
      <w:r w:rsidR="0013742E" w:rsidRPr="00480CDE">
        <w:rPr>
          <w:rFonts w:ascii="Arial" w:hAnsi="Arial" w:cs="Arial"/>
          <w:szCs w:val="24"/>
        </w:rPr>
        <w:t xml:space="preserve">tate </w:t>
      </w:r>
      <w:r w:rsidR="00480CDE">
        <w:rPr>
          <w:rFonts w:ascii="Arial" w:hAnsi="Arial" w:cs="Arial"/>
          <w:szCs w:val="24"/>
        </w:rPr>
        <w:t>F</w:t>
      </w:r>
      <w:r w:rsidR="0013742E" w:rsidRPr="00480CDE">
        <w:rPr>
          <w:rFonts w:ascii="Arial" w:hAnsi="Arial" w:cs="Arial"/>
          <w:szCs w:val="24"/>
        </w:rPr>
        <w:t xml:space="preserve">iscal </w:t>
      </w:r>
      <w:r w:rsidR="00480CDE">
        <w:rPr>
          <w:rFonts w:ascii="Arial" w:hAnsi="Arial" w:cs="Arial"/>
          <w:szCs w:val="24"/>
        </w:rPr>
        <w:t>Y</w:t>
      </w:r>
      <w:r w:rsidR="0013742E" w:rsidRPr="00480CDE">
        <w:rPr>
          <w:rFonts w:ascii="Arial" w:hAnsi="Arial" w:cs="Arial"/>
          <w:szCs w:val="24"/>
        </w:rPr>
        <w:t>ear 22-23.</w:t>
      </w:r>
      <w:r w:rsidR="0013742E">
        <w:rPr>
          <w:rFonts w:ascii="Arial" w:hAnsi="Arial" w:cs="Arial"/>
          <w:szCs w:val="24"/>
        </w:rPr>
        <w:t xml:space="preserve">  </w:t>
      </w:r>
    </w:p>
    <w:p w14:paraId="55B3886A" w14:textId="4DCB83BB" w:rsidR="0014588E" w:rsidRPr="0002072A" w:rsidRDefault="0014588E" w:rsidP="001921E7">
      <w:pPr>
        <w:jc w:val="both"/>
        <w:rPr>
          <w:rFonts w:ascii="Arial" w:hAnsi="Arial" w:cs="Arial"/>
          <w:szCs w:val="24"/>
        </w:rPr>
      </w:pPr>
      <w:r w:rsidRPr="0002072A">
        <w:rPr>
          <w:rFonts w:ascii="Arial" w:hAnsi="Arial" w:cs="Arial"/>
          <w:szCs w:val="24"/>
        </w:rPr>
        <w:t>The $1.</w:t>
      </w:r>
      <w:r w:rsidR="00993BDB">
        <w:rPr>
          <w:rFonts w:ascii="Arial" w:hAnsi="Arial" w:cs="Arial"/>
          <w:szCs w:val="24"/>
        </w:rPr>
        <w:t>7</w:t>
      </w:r>
      <w:r w:rsidRPr="0002072A">
        <w:rPr>
          <w:rFonts w:ascii="Arial" w:hAnsi="Arial" w:cs="Arial"/>
          <w:szCs w:val="24"/>
        </w:rPr>
        <w:t xml:space="preserve">5 million in </w:t>
      </w:r>
      <w:r w:rsidR="002B3266" w:rsidRPr="0002072A">
        <w:rPr>
          <w:rFonts w:ascii="Arial" w:hAnsi="Arial" w:cs="Arial"/>
          <w:szCs w:val="24"/>
        </w:rPr>
        <w:t xml:space="preserve">SLFRF </w:t>
      </w:r>
      <w:r w:rsidRPr="0002072A">
        <w:rPr>
          <w:rFonts w:ascii="Arial" w:hAnsi="Arial" w:cs="Arial"/>
          <w:szCs w:val="24"/>
        </w:rPr>
        <w:t xml:space="preserve">funds will enable this initiative to operate through the start-up period, and for up to possibly </w:t>
      </w:r>
      <w:proofErr w:type="gramStart"/>
      <w:r w:rsidRPr="0002072A">
        <w:rPr>
          <w:rFonts w:ascii="Arial" w:hAnsi="Arial" w:cs="Arial"/>
          <w:szCs w:val="24"/>
        </w:rPr>
        <w:t>as long as</w:t>
      </w:r>
      <w:proofErr w:type="gramEnd"/>
      <w:r w:rsidRPr="0002072A">
        <w:rPr>
          <w:rFonts w:ascii="Arial" w:hAnsi="Arial" w:cs="Arial"/>
          <w:szCs w:val="24"/>
        </w:rPr>
        <w:t xml:space="preserve"> 18 months. During this period, the local partnership under County leadership will prepare and secure the necessary financial commitments to continue the operation of the </w:t>
      </w:r>
      <w:r w:rsidR="0002440A">
        <w:rPr>
          <w:rFonts w:ascii="Arial" w:hAnsi="Arial" w:cs="Arial"/>
          <w:szCs w:val="24"/>
        </w:rPr>
        <w:t>CRS</w:t>
      </w:r>
      <w:r w:rsidRPr="0002072A">
        <w:rPr>
          <w:rFonts w:ascii="Arial" w:hAnsi="Arial" w:cs="Arial"/>
          <w:szCs w:val="24"/>
        </w:rPr>
        <w:t xml:space="preserve"> on an ongoing basis with a goal of sustainability.  Toward that end, the County’s actions taken on August 12, 2021, included authorization of specific requests for participation in funding the </w:t>
      </w:r>
      <w:r w:rsidR="0002440A">
        <w:rPr>
          <w:rFonts w:ascii="Arial" w:hAnsi="Arial" w:cs="Arial"/>
          <w:szCs w:val="24"/>
        </w:rPr>
        <w:t>CRS</w:t>
      </w:r>
      <w:r w:rsidRPr="0002072A">
        <w:rPr>
          <w:rFonts w:ascii="Arial" w:hAnsi="Arial" w:cs="Arial"/>
          <w:szCs w:val="24"/>
        </w:rPr>
        <w:t xml:space="preserve"> from: the City of Gainesville; UF Health; NFRMC; </w:t>
      </w:r>
      <w:r w:rsidR="00480CDE" w:rsidRPr="0002072A">
        <w:rPr>
          <w:rFonts w:ascii="Arial" w:hAnsi="Arial" w:cs="Arial"/>
          <w:szCs w:val="24"/>
        </w:rPr>
        <w:t>and</w:t>
      </w:r>
      <w:r w:rsidRPr="0002072A">
        <w:rPr>
          <w:rFonts w:ascii="Arial" w:hAnsi="Arial" w:cs="Arial"/>
          <w:szCs w:val="24"/>
        </w:rPr>
        <w:t xml:space="preserve"> the Malcolm Randall Veterans Administration Medical Center. Additional support will be sought from the surrounding counties for their own respective commitments</w:t>
      </w:r>
      <w:r w:rsidR="00DF64AE">
        <w:rPr>
          <w:rFonts w:ascii="Arial" w:hAnsi="Arial" w:cs="Arial"/>
          <w:szCs w:val="24"/>
        </w:rPr>
        <w:t xml:space="preserve"> by M</w:t>
      </w:r>
      <w:r w:rsidR="009A7188">
        <w:rPr>
          <w:rFonts w:ascii="Arial" w:hAnsi="Arial" w:cs="Arial"/>
          <w:szCs w:val="24"/>
        </w:rPr>
        <w:t>BHC</w:t>
      </w:r>
      <w:r w:rsidRPr="0002072A">
        <w:rPr>
          <w:rFonts w:ascii="Arial" w:hAnsi="Arial" w:cs="Arial"/>
          <w:szCs w:val="24"/>
        </w:rPr>
        <w:t>.</w:t>
      </w:r>
    </w:p>
    <w:p w14:paraId="63852EC3" w14:textId="41BA09AA" w:rsidR="0014588E" w:rsidRPr="0002072A" w:rsidRDefault="0014588E" w:rsidP="001921E7">
      <w:pPr>
        <w:jc w:val="both"/>
        <w:rPr>
          <w:rFonts w:ascii="Arial" w:hAnsi="Arial" w:cs="Arial"/>
          <w:szCs w:val="24"/>
        </w:rPr>
      </w:pPr>
      <w:r w:rsidRPr="0002072A">
        <w:rPr>
          <w:rFonts w:ascii="Arial" w:hAnsi="Arial" w:cs="Arial"/>
          <w:szCs w:val="24"/>
        </w:rPr>
        <w:lastRenderedPageBreak/>
        <w:t>Toward ongoing operational costs, there is the potential use of State of Florida funds, namely through a funding vehicle called the Low-Income Pool. (</w:t>
      </w:r>
      <w:r w:rsidRPr="0002072A">
        <w:rPr>
          <w:rFonts w:ascii="Arial" w:hAnsi="Arial" w:cs="Arial"/>
          <w:color w:val="000000"/>
          <w:szCs w:val="24"/>
          <w:shd w:val="clear" w:color="auto" w:fill="FFFFFF"/>
        </w:rPr>
        <w:t>The funding is used for hospitals and other health care providers who provide uncompensated care to Medicaid recipients, or other Floridians who are either uninsured or underinsured.) The opportunity to use this funding mechanism has been approached more recently in the State Legislature by three Florida Counties (Brevard, &amp; Polk/Hardee Counties.)</w:t>
      </w:r>
      <w:r w:rsidRPr="0002072A">
        <w:rPr>
          <w:rFonts w:ascii="Arial" w:hAnsi="Arial" w:cs="Arial"/>
          <w:szCs w:val="24"/>
        </w:rPr>
        <w:t xml:space="preserve"> Alachua and North Central Florida will pursue this opportunity, to secure sustainable funding, along with local public and private resources.</w:t>
      </w:r>
      <w:r w:rsidR="007C6B3B">
        <w:rPr>
          <w:rFonts w:ascii="Arial" w:hAnsi="Arial" w:cs="Arial"/>
          <w:szCs w:val="24"/>
        </w:rPr>
        <w:t xml:space="preserve"> Additional funding opportunities </w:t>
      </w:r>
      <w:r w:rsidR="00F02B29">
        <w:rPr>
          <w:rFonts w:ascii="Arial" w:hAnsi="Arial" w:cs="Arial"/>
          <w:szCs w:val="24"/>
        </w:rPr>
        <w:t xml:space="preserve">may be sought through grants including Department of Children &amp; Families for Central Receiving. </w:t>
      </w:r>
    </w:p>
    <w:p w14:paraId="7ADA8AC7" w14:textId="3019B6A7" w:rsidR="00B90454" w:rsidRDefault="00B90454" w:rsidP="001921E7">
      <w:pPr>
        <w:tabs>
          <w:tab w:val="left" w:pos="7050"/>
        </w:tabs>
        <w:jc w:val="both"/>
        <w:rPr>
          <w:rFonts w:ascii="Arial" w:hAnsi="Arial" w:cs="Arial"/>
          <w:b/>
        </w:rPr>
      </w:pPr>
      <w:r w:rsidRPr="00285473">
        <w:rPr>
          <w:rFonts w:ascii="Arial" w:hAnsi="Arial" w:cs="Arial"/>
          <w:b/>
        </w:rPr>
        <w:t xml:space="preserve">Promoting </w:t>
      </w:r>
      <w:r w:rsidR="00FA48D5">
        <w:rPr>
          <w:rFonts w:ascii="Arial" w:hAnsi="Arial" w:cs="Arial"/>
          <w:b/>
        </w:rPr>
        <w:t>E</w:t>
      </w:r>
      <w:r w:rsidRPr="00285473">
        <w:rPr>
          <w:rFonts w:ascii="Arial" w:hAnsi="Arial" w:cs="Arial"/>
          <w:b/>
        </w:rPr>
        <w:t xml:space="preserve">quitable </w:t>
      </w:r>
      <w:r w:rsidR="00FA48D5">
        <w:rPr>
          <w:rFonts w:ascii="Arial" w:hAnsi="Arial" w:cs="Arial"/>
          <w:b/>
        </w:rPr>
        <w:t>O</w:t>
      </w:r>
      <w:r w:rsidRPr="00285473">
        <w:rPr>
          <w:rFonts w:ascii="Arial" w:hAnsi="Arial" w:cs="Arial"/>
          <w:b/>
        </w:rPr>
        <w:t xml:space="preserve">utcomes </w:t>
      </w:r>
    </w:p>
    <w:p w14:paraId="752066CF" w14:textId="77777777" w:rsidR="002057A1" w:rsidRDefault="009C53A2" w:rsidP="001921E7">
      <w:pPr>
        <w:tabs>
          <w:tab w:val="left" w:pos="7050"/>
        </w:tabs>
        <w:jc w:val="both"/>
        <w:rPr>
          <w:rFonts w:ascii="Arial" w:hAnsi="Arial" w:cs="Arial"/>
        </w:rPr>
      </w:pPr>
      <w:r w:rsidRPr="006B56E8">
        <w:rPr>
          <w:rFonts w:ascii="Arial" w:hAnsi="Arial" w:cs="Arial"/>
        </w:rPr>
        <w:t>The commitment of Alachua County to promote equity across the County is</w:t>
      </w:r>
      <w:r w:rsidR="00D41FEA" w:rsidRPr="006B56E8">
        <w:rPr>
          <w:rFonts w:ascii="Arial" w:hAnsi="Arial" w:cs="Arial"/>
        </w:rPr>
        <w:t xml:space="preserve"> profound and has been</w:t>
      </w:r>
      <w:r w:rsidRPr="006B56E8">
        <w:rPr>
          <w:rFonts w:ascii="Arial" w:hAnsi="Arial" w:cs="Arial"/>
        </w:rPr>
        <w:t xml:space="preserve"> steadfast. </w:t>
      </w:r>
      <w:r w:rsidR="002073B9" w:rsidRPr="006B56E8">
        <w:rPr>
          <w:rFonts w:ascii="Arial" w:hAnsi="Arial" w:cs="Arial"/>
        </w:rPr>
        <w:t xml:space="preserve">More </w:t>
      </w:r>
      <w:r w:rsidR="004416A5" w:rsidRPr="006B56E8">
        <w:rPr>
          <w:rFonts w:ascii="Arial" w:hAnsi="Arial" w:cs="Arial"/>
        </w:rPr>
        <w:t>recently</w:t>
      </w:r>
      <w:r w:rsidR="002073B9" w:rsidRPr="006B56E8">
        <w:rPr>
          <w:rFonts w:ascii="Arial" w:hAnsi="Arial" w:cs="Arial"/>
        </w:rPr>
        <w:t>, a</w:t>
      </w:r>
      <w:r w:rsidRPr="006B56E8">
        <w:rPr>
          <w:rFonts w:ascii="Arial" w:hAnsi="Arial" w:cs="Arial"/>
        </w:rPr>
        <w:t>s part of the County’s Strategic Plan</w:t>
      </w:r>
      <w:r w:rsidR="004B5604">
        <w:rPr>
          <w:rFonts w:ascii="Arial" w:hAnsi="Arial" w:cs="Arial"/>
        </w:rPr>
        <w:t xml:space="preserve"> formally</w:t>
      </w:r>
      <w:r w:rsidRPr="006B56E8">
        <w:rPr>
          <w:rFonts w:ascii="Arial" w:hAnsi="Arial" w:cs="Arial"/>
        </w:rPr>
        <w:t xml:space="preserve"> adopted</w:t>
      </w:r>
      <w:r w:rsidR="004B5604">
        <w:rPr>
          <w:rFonts w:ascii="Arial" w:hAnsi="Arial" w:cs="Arial"/>
        </w:rPr>
        <w:t xml:space="preserve"> by the Board of County Commissioners</w:t>
      </w:r>
      <w:r w:rsidRPr="006B56E8">
        <w:rPr>
          <w:rFonts w:ascii="Arial" w:hAnsi="Arial" w:cs="Arial"/>
        </w:rPr>
        <w:t xml:space="preserve"> in early 2021, it is noted that the County seeks the goal of being an “Equitable and Resilient Community.” Equitable is defined as “striving to treat everyone justly according to their circumstances, providing opportunity and access for everyone, while focusing on closing existing equity and access gaps.” Further, a fundamental component of the Plan’s second major goal “Achieve Social and Economic Opportunity for All” is the initiative to build equitable access to health (physical and </w:t>
      </w:r>
      <w:r w:rsidR="004F75F7">
        <w:rPr>
          <w:rFonts w:ascii="Arial" w:hAnsi="Arial" w:cs="Arial"/>
        </w:rPr>
        <w:t>behavioral</w:t>
      </w:r>
      <w:r w:rsidRPr="006B56E8">
        <w:rPr>
          <w:rFonts w:ascii="Arial" w:hAnsi="Arial" w:cs="Arial"/>
        </w:rPr>
        <w:t xml:space="preserve">), safety, and opportunity especially for those who haven’t traditionally had access to those systems. </w:t>
      </w:r>
      <w:r w:rsidR="006468DD" w:rsidRPr="006B56E8">
        <w:rPr>
          <w:rFonts w:ascii="Arial" w:hAnsi="Arial" w:cs="Arial"/>
        </w:rPr>
        <w:t xml:space="preserve">The effort to develop and implement a Central Receiving </w:t>
      </w:r>
      <w:r w:rsidR="00645E36">
        <w:rPr>
          <w:rFonts w:ascii="Arial" w:hAnsi="Arial" w:cs="Arial"/>
          <w:szCs w:val="24"/>
        </w:rPr>
        <w:t>System</w:t>
      </w:r>
      <w:r w:rsidR="006468DD" w:rsidRPr="006B56E8">
        <w:rPr>
          <w:rFonts w:ascii="Arial" w:hAnsi="Arial" w:cs="Arial"/>
        </w:rPr>
        <w:t xml:space="preserve"> is directly in line with the County’s Strategic Plan. </w:t>
      </w:r>
    </w:p>
    <w:p w14:paraId="4B07E1F5" w14:textId="01B2EFA4" w:rsidR="005B3A9D" w:rsidRPr="005B3A9D" w:rsidRDefault="008E0E8A" w:rsidP="00CA04BA">
      <w:pPr>
        <w:tabs>
          <w:tab w:val="left" w:pos="7050"/>
        </w:tabs>
        <w:jc w:val="both"/>
        <w:rPr>
          <w:rFonts w:ascii="Arial" w:hAnsi="Arial" w:cs="Arial"/>
          <w:color w:val="000000"/>
        </w:rPr>
      </w:pPr>
      <w:r>
        <w:rPr>
          <w:rFonts w:ascii="Arial" w:hAnsi="Arial" w:cs="Arial"/>
        </w:rPr>
        <w:t xml:space="preserve">Further, </w:t>
      </w:r>
      <w:r w:rsidR="001834EC">
        <w:rPr>
          <w:rFonts w:ascii="Arial" w:hAnsi="Arial" w:cs="Arial"/>
        </w:rPr>
        <w:t xml:space="preserve">consistent </w:t>
      </w:r>
      <w:r>
        <w:rPr>
          <w:rFonts w:ascii="Arial" w:hAnsi="Arial" w:cs="Arial"/>
        </w:rPr>
        <w:t>with</w:t>
      </w:r>
      <w:r w:rsidR="001834EC">
        <w:rPr>
          <w:rFonts w:ascii="Arial" w:hAnsi="Arial" w:cs="Arial"/>
        </w:rPr>
        <w:t xml:space="preserve"> the aims of</w:t>
      </w:r>
      <w:r>
        <w:rPr>
          <w:rFonts w:ascii="Arial" w:hAnsi="Arial" w:cs="Arial"/>
        </w:rPr>
        <w:t xml:space="preserve"> its Strategic Plan, the County has recently created an Office of Equity and Community Outreach</w:t>
      </w:r>
      <w:r w:rsidR="001834EC">
        <w:rPr>
          <w:rFonts w:ascii="Arial" w:hAnsi="Arial" w:cs="Arial"/>
        </w:rPr>
        <w:t xml:space="preserve"> to focus additional resources to address these issues across the range of County programs and organizational infrastructure. </w:t>
      </w:r>
      <w:r w:rsidR="005B3A9D" w:rsidRPr="005B3A9D">
        <w:rPr>
          <w:rFonts w:ascii="Arial" w:hAnsi="Arial" w:cs="Arial"/>
          <w:color w:val="000000"/>
        </w:rPr>
        <w:t xml:space="preserve">In response to the COVID-19 Pandemic, </w:t>
      </w:r>
      <w:r w:rsidR="0039432A">
        <w:rPr>
          <w:rFonts w:ascii="Arial" w:hAnsi="Arial" w:cs="Arial"/>
          <w:color w:val="000000"/>
        </w:rPr>
        <w:t>the Office submitted a SLFRF plan entitled “</w:t>
      </w:r>
      <w:r w:rsidR="005B3A9D" w:rsidRPr="005B3A9D">
        <w:rPr>
          <w:rFonts w:ascii="Arial" w:hAnsi="Arial" w:cs="Arial"/>
          <w:color w:val="000000"/>
        </w:rPr>
        <w:t xml:space="preserve">Building the Language Access Infrastructure of Alachua County Services for Limited English Proficient Speakers (LEP): </w:t>
      </w:r>
      <w:r w:rsidR="005B3A9D" w:rsidRPr="005B3A9D">
        <w:rPr>
          <w:rFonts w:ascii="Arial" w:hAnsi="Arial" w:cs="Arial"/>
          <w:i/>
          <w:iCs/>
          <w:color w:val="000000"/>
        </w:rPr>
        <w:t>An Equity Response to Disparities Experienced During COVID</w:t>
      </w:r>
      <w:r w:rsidR="0039432A">
        <w:rPr>
          <w:rFonts w:ascii="Arial" w:hAnsi="Arial" w:cs="Arial"/>
          <w:i/>
          <w:iCs/>
          <w:color w:val="000000"/>
        </w:rPr>
        <w:t>”</w:t>
      </w:r>
      <w:r w:rsidR="005B3A9D" w:rsidRPr="005B3A9D">
        <w:rPr>
          <w:rFonts w:ascii="Arial" w:hAnsi="Arial" w:cs="Arial"/>
          <w:i/>
          <w:iCs/>
          <w:color w:val="000000"/>
        </w:rPr>
        <w:t xml:space="preserve"> </w:t>
      </w:r>
    </w:p>
    <w:p w14:paraId="087459D6" w14:textId="3773DC94" w:rsidR="005B3A9D" w:rsidRDefault="005B3A9D" w:rsidP="005B3A9D">
      <w:pPr>
        <w:autoSpaceDE w:val="0"/>
        <w:autoSpaceDN w:val="0"/>
        <w:adjustRightInd w:val="0"/>
        <w:spacing w:after="0" w:line="240" w:lineRule="auto"/>
        <w:rPr>
          <w:rFonts w:ascii="Arial" w:hAnsi="Arial" w:cs="Arial"/>
          <w:color w:val="000000"/>
        </w:rPr>
      </w:pPr>
      <w:r w:rsidRPr="005B3A9D">
        <w:rPr>
          <w:rFonts w:ascii="Arial" w:hAnsi="Arial" w:cs="Arial"/>
          <w:color w:val="000000"/>
        </w:rPr>
        <w:t xml:space="preserve">Racial equity intersects issues of race, economic class, nationality, literacy, and language. To achieve greater equity and inclusion, the County needs to acknowledge and commit to responding to the linguistical and literacy diversity of its residents, especially those identified as limited English proficient speakers (LEP). The COVID-19 pandemic revealed inequities in information and services to non-English speakers, resulting in negative health outcomes and economic disenfranchisement. These issues have been exacerbated by historic disparities impacting immigrants, refugees, Puerto Rican monolingual-Spanish speaking neighbors, and lower-literate community members in the County. </w:t>
      </w:r>
      <w:r w:rsidR="003D6025">
        <w:rPr>
          <w:rFonts w:ascii="Arial" w:hAnsi="Arial" w:cs="Arial"/>
          <w:color w:val="000000"/>
        </w:rPr>
        <w:t>Core Components of the plan include and address:</w:t>
      </w:r>
    </w:p>
    <w:p w14:paraId="72E1E477" w14:textId="2449B82E" w:rsidR="003D6025" w:rsidRDefault="003D6025" w:rsidP="005B3A9D">
      <w:pPr>
        <w:autoSpaceDE w:val="0"/>
        <w:autoSpaceDN w:val="0"/>
        <w:adjustRightInd w:val="0"/>
        <w:spacing w:after="0" w:line="240" w:lineRule="auto"/>
        <w:rPr>
          <w:rFonts w:ascii="Arial" w:hAnsi="Arial" w:cs="Arial"/>
          <w:color w:val="000000"/>
        </w:rPr>
      </w:pPr>
    </w:p>
    <w:p w14:paraId="6E549167" w14:textId="7E2AA390" w:rsidR="005B3A9D" w:rsidRPr="005B3A9D" w:rsidRDefault="005B3A9D" w:rsidP="005B3A9D">
      <w:pPr>
        <w:autoSpaceDE w:val="0"/>
        <w:autoSpaceDN w:val="0"/>
        <w:adjustRightInd w:val="0"/>
        <w:spacing w:after="220" w:line="240" w:lineRule="auto"/>
        <w:rPr>
          <w:rFonts w:ascii="Arial" w:hAnsi="Arial" w:cs="Arial"/>
          <w:color w:val="000000"/>
        </w:rPr>
      </w:pPr>
      <w:r w:rsidRPr="005B3A9D">
        <w:rPr>
          <w:rFonts w:ascii="Arial" w:hAnsi="Arial" w:cs="Arial"/>
          <w:color w:val="000000"/>
        </w:rPr>
        <w:t xml:space="preserve">A) Development and implementation of a Language Access Plan to be responsive to the 1964 Civil Rights Act Title VI and Executive Order 13166 requiring entities receiving federal financial assistance to provide meaningful access to programs and services for Persons with Limited English Proficiency (LEP). </w:t>
      </w:r>
    </w:p>
    <w:p w14:paraId="628F0812" w14:textId="3E835D73" w:rsidR="003D6025" w:rsidRDefault="005B3A9D" w:rsidP="005B3A9D">
      <w:pPr>
        <w:autoSpaceDE w:val="0"/>
        <w:autoSpaceDN w:val="0"/>
        <w:adjustRightInd w:val="0"/>
        <w:spacing w:after="0" w:line="240" w:lineRule="auto"/>
        <w:rPr>
          <w:rFonts w:ascii="Arial" w:hAnsi="Arial" w:cs="Arial"/>
          <w:color w:val="000000"/>
        </w:rPr>
      </w:pPr>
      <w:r w:rsidRPr="005B3A9D">
        <w:rPr>
          <w:rFonts w:ascii="Arial" w:hAnsi="Arial" w:cs="Arial"/>
          <w:color w:val="000000"/>
        </w:rPr>
        <w:t>B) Training of all County employees on</w:t>
      </w:r>
      <w:r w:rsidR="003D6025">
        <w:rPr>
          <w:rFonts w:ascii="Arial" w:hAnsi="Arial" w:cs="Arial"/>
          <w:color w:val="000000"/>
        </w:rPr>
        <w:t xml:space="preserve"> </w:t>
      </w:r>
      <w:r w:rsidRPr="005B3A9D">
        <w:rPr>
          <w:rFonts w:ascii="Arial" w:hAnsi="Arial" w:cs="Arial"/>
          <w:color w:val="000000"/>
        </w:rPr>
        <w:t>the 1964 Civil Rights Act Title VI, Executive Order 13166, and the Language Access Plan</w:t>
      </w:r>
      <w:r w:rsidR="003D6025">
        <w:rPr>
          <w:rFonts w:ascii="Arial" w:hAnsi="Arial" w:cs="Arial"/>
          <w:color w:val="000000"/>
        </w:rPr>
        <w:t xml:space="preserve">, </w:t>
      </w:r>
      <w:r w:rsidRPr="005B3A9D">
        <w:rPr>
          <w:rFonts w:ascii="Arial" w:hAnsi="Arial" w:cs="Arial"/>
          <w:color w:val="000000"/>
        </w:rPr>
        <w:t xml:space="preserve">the existence of the County’s </w:t>
      </w:r>
      <w:proofErr w:type="spellStart"/>
      <w:r w:rsidRPr="005B3A9D">
        <w:rPr>
          <w:rFonts w:ascii="Arial" w:hAnsi="Arial" w:cs="Arial"/>
          <w:color w:val="000000"/>
        </w:rPr>
        <w:t>LanguageLine</w:t>
      </w:r>
      <w:proofErr w:type="spellEnd"/>
      <w:r w:rsidRPr="005B3A9D">
        <w:rPr>
          <w:rFonts w:ascii="Arial" w:hAnsi="Arial" w:cs="Arial"/>
          <w:color w:val="000000"/>
        </w:rPr>
        <w:t xml:space="preserve"> contract and other translation/interpretation service provider options</w:t>
      </w:r>
      <w:r w:rsidR="003D6025">
        <w:rPr>
          <w:rFonts w:ascii="Arial" w:hAnsi="Arial" w:cs="Arial"/>
          <w:color w:val="000000"/>
        </w:rPr>
        <w:t xml:space="preserve">, </w:t>
      </w:r>
      <w:r w:rsidRPr="005B3A9D">
        <w:rPr>
          <w:rFonts w:ascii="Arial" w:hAnsi="Arial" w:cs="Arial"/>
          <w:color w:val="000000"/>
        </w:rPr>
        <w:t>training to assure that all employees seamlessly utilize the County’s language access options and serve non-English speakers equitably.</w:t>
      </w:r>
    </w:p>
    <w:p w14:paraId="5BAC6F70" w14:textId="1C7C2B1F" w:rsidR="005B3A9D" w:rsidRPr="005B3A9D" w:rsidRDefault="005B3A9D" w:rsidP="005B3A9D">
      <w:pPr>
        <w:autoSpaceDE w:val="0"/>
        <w:autoSpaceDN w:val="0"/>
        <w:adjustRightInd w:val="0"/>
        <w:spacing w:after="0" w:line="240" w:lineRule="auto"/>
        <w:rPr>
          <w:rFonts w:ascii="Arial" w:hAnsi="Arial" w:cs="Arial"/>
          <w:color w:val="000000"/>
        </w:rPr>
      </w:pPr>
      <w:r w:rsidRPr="005B3A9D">
        <w:rPr>
          <w:rFonts w:ascii="Arial" w:hAnsi="Arial" w:cs="Arial"/>
          <w:color w:val="000000"/>
        </w:rPr>
        <w:lastRenderedPageBreak/>
        <w:t xml:space="preserve"> </w:t>
      </w:r>
    </w:p>
    <w:p w14:paraId="76917354" w14:textId="3C012E84" w:rsidR="005B3A9D" w:rsidRPr="005B3A9D" w:rsidRDefault="005B3A9D" w:rsidP="003D6025">
      <w:pPr>
        <w:autoSpaceDE w:val="0"/>
        <w:autoSpaceDN w:val="0"/>
        <w:adjustRightInd w:val="0"/>
        <w:spacing w:after="0" w:line="240" w:lineRule="auto"/>
        <w:rPr>
          <w:rFonts w:ascii="Arial" w:hAnsi="Arial" w:cs="Arial"/>
          <w:color w:val="000000"/>
        </w:rPr>
      </w:pPr>
      <w:r w:rsidRPr="005B3A9D">
        <w:rPr>
          <w:rFonts w:ascii="Arial" w:hAnsi="Arial" w:cs="Arial"/>
          <w:color w:val="000000"/>
        </w:rPr>
        <w:t xml:space="preserve">C) Translation of Vital County-driven Information about programs in its existing mediums </w:t>
      </w:r>
    </w:p>
    <w:p w14:paraId="45026091" w14:textId="77777777" w:rsidR="005B3A9D" w:rsidRPr="005B3A9D" w:rsidRDefault="005B3A9D" w:rsidP="005B3A9D">
      <w:pPr>
        <w:autoSpaceDE w:val="0"/>
        <w:autoSpaceDN w:val="0"/>
        <w:adjustRightInd w:val="0"/>
        <w:spacing w:after="0" w:line="240" w:lineRule="auto"/>
        <w:rPr>
          <w:rFonts w:ascii="Arial" w:hAnsi="Arial" w:cs="Arial"/>
          <w:color w:val="000000"/>
        </w:rPr>
      </w:pPr>
    </w:p>
    <w:p w14:paraId="3BF1A885" w14:textId="1894683F" w:rsidR="005B3A9D" w:rsidRPr="005B3A9D" w:rsidRDefault="005B3A9D" w:rsidP="003D6025">
      <w:pPr>
        <w:autoSpaceDE w:val="0"/>
        <w:autoSpaceDN w:val="0"/>
        <w:adjustRightInd w:val="0"/>
        <w:spacing w:after="0" w:line="240" w:lineRule="auto"/>
        <w:rPr>
          <w:rFonts w:ascii="Arial" w:hAnsi="Arial" w:cs="Arial"/>
          <w:color w:val="000000"/>
        </w:rPr>
      </w:pPr>
      <w:r w:rsidRPr="005B3A9D">
        <w:rPr>
          <w:rFonts w:ascii="Arial" w:hAnsi="Arial" w:cs="Arial"/>
          <w:color w:val="000000"/>
        </w:rPr>
        <w:t xml:space="preserve">D) Funding of an Immigrant Neighbor Guide, developed by community organizations serving immigrants to explain systems, protocols, and rights to services, language access as well as their responsibilities as neighbors. </w:t>
      </w:r>
    </w:p>
    <w:p w14:paraId="40DAC48B" w14:textId="77777777" w:rsidR="005B3A9D" w:rsidRPr="005B3A9D" w:rsidRDefault="005B3A9D" w:rsidP="005B3A9D">
      <w:pPr>
        <w:autoSpaceDE w:val="0"/>
        <w:autoSpaceDN w:val="0"/>
        <w:adjustRightInd w:val="0"/>
        <w:spacing w:after="0" w:line="240" w:lineRule="auto"/>
        <w:rPr>
          <w:rFonts w:ascii="Arial" w:hAnsi="Arial" w:cs="Arial"/>
          <w:color w:val="000000"/>
        </w:rPr>
      </w:pPr>
    </w:p>
    <w:p w14:paraId="23B2D440" w14:textId="02174714" w:rsidR="005B3A9D" w:rsidRPr="005B3A9D" w:rsidRDefault="005B3A9D" w:rsidP="005B3A9D">
      <w:pPr>
        <w:autoSpaceDE w:val="0"/>
        <w:autoSpaceDN w:val="0"/>
        <w:adjustRightInd w:val="0"/>
        <w:spacing w:after="0" w:line="240" w:lineRule="auto"/>
        <w:rPr>
          <w:rFonts w:ascii="Arial" w:hAnsi="Arial" w:cs="Arial"/>
          <w:color w:val="000000"/>
        </w:rPr>
      </w:pPr>
      <w:r w:rsidRPr="005B3A9D">
        <w:rPr>
          <w:rFonts w:ascii="Arial" w:hAnsi="Arial" w:cs="Arial"/>
          <w:color w:val="000000"/>
        </w:rPr>
        <w:t>E) County signage in multiple languages to reduce barriers to accessing services, attending events, and locating County offices and structures (</w:t>
      </w:r>
      <w:r w:rsidR="00AF6518" w:rsidRPr="005B3A9D">
        <w:rPr>
          <w:rFonts w:ascii="Arial" w:hAnsi="Arial" w:cs="Arial"/>
          <w:color w:val="000000"/>
        </w:rPr>
        <w:t>i.e.,</w:t>
      </w:r>
      <w:r w:rsidRPr="005B3A9D">
        <w:rPr>
          <w:rFonts w:ascii="Arial" w:hAnsi="Arial" w:cs="Arial"/>
          <w:color w:val="000000"/>
        </w:rPr>
        <w:t xml:space="preserve"> vaccination sites, food distribution locations). </w:t>
      </w:r>
    </w:p>
    <w:p w14:paraId="4084A33A" w14:textId="77777777" w:rsidR="00CA04BA" w:rsidRDefault="00CA04BA" w:rsidP="002127B8">
      <w:pPr>
        <w:tabs>
          <w:tab w:val="left" w:pos="7050"/>
        </w:tabs>
        <w:spacing w:after="0"/>
        <w:jc w:val="both"/>
        <w:rPr>
          <w:rFonts w:ascii="Arial" w:hAnsi="Arial" w:cs="Arial"/>
        </w:rPr>
      </w:pPr>
    </w:p>
    <w:p w14:paraId="483F9AF9" w14:textId="7CE71513" w:rsidR="00827A05" w:rsidRPr="006B56E8" w:rsidRDefault="003D6025" w:rsidP="001921E7">
      <w:pPr>
        <w:tabs>
          <w:tab w:val="left" w:pos="7050"/>
        </w:tabs>
        <w:jc w:val="both"/>
        <w:rPr>
          <w:rFonts w:ascii="Arial" w:hAnsi="Arial" w:cs="Arial"/>
        </w:rPr>
      </w:pPr>
      <w:r>
        <w:rPr>
          <w:rFonts w:ascii="Arial" w:hAnsi="Arial" w:cs="Arial"/>
        </w:rPr>
        <w:t xml:space="preserve">Further County-wide efforts to promote equity and engagement include the findings and recommendations in the </w:t>
      </w:r>
      <w:r w:rsidR="00C32FCA" w:rsidRPr="006B56E8">
        <w:rPr>
          <w:rFonts w:ascii="Arial" w:hAnsi="Arial" w:cs="Arial"/>
        </w:rPr>
        <w:t>Alachua County Community Health Improvement Plan for 2021-2024 adopted in December 2020</w:t>
      </w:r>
      <w:r w:rsidR="00827A05" w:rsidRPr="006B56E8">
        <w:rPr>
          <w:rFonts w:ascii="Arial" w:hAnsi="Arial" w:cs="Arial"/>
        </w:rPr>
        <w:t>. Among the six Strategic Priorities identified in this document was “Access to Health Care and Community Wellness, including Mental Health Access. The Plan states that for Access to Health Care a focus on health disparities, including differences in health outcomes and their determinants between segments of the population as defined by social, demographic, environmental and geographic attributes, must receive the County’s attention and focus.</w:t>
      </w:r>
      <w:r w:rsidR="008E0E8A">
        <w:rPr>
          <w:rFonts w:ascii="Arial" w:hAnsi="Arial" w:cs="Arial"/>
        </w:rPr>
        <w:t xml:space="preserve"> </w:t>
      </w:r>
    </w:p>
    <w:p w14:paraId="33F55404" w14:textId="72D0E9C1" w:rsidR="005C4915" w:rsidRPr="00480CDE" w:rsidRDefault="00D02C6E" w:rsidP="001921E7">
      <w:pPr>
        <w:tabs>
          <w:tab w:val="left" w:pos="7050"/>
        </w:tabs>
        <w:jc w:val="both"/>
        <w:rPr>
          <w:rFonts w:ascii="Arial" w:hAnsi="Arial" w:cs="Arial"/>
        </w:rPr>
      </w:pPr>
      <w:r w:rsidRPr="006B56E8">
        <w:rPr>
          <w:rFonts w:ascii="Arial" w:hAnsi="Arial" w:cs="Arial"/>
        </w:rPr>
        <w:t>As a practical matter, the County’s efforts to promote equitable outcomes in the use of A</w:t>
      </w:r>
      <w:r w:rsidR="001421C0" w:rsidRPr="006B56E8">
        <w:rPr>
          <w:rFonts w:ascii="Arial" w:hAnsi="Arial" w:cs="Arial"/>
        </w:rPr>
        <w:t>RP</w:t>
      </w:r>
      <w:r w:rsidR="00887937">
        <w:rPr>
          <w:rFonts w:ascii="Arial" w:hAnsi="Arial" w:cs="Arial"/>
        </w:rPr>
        <w:t>A</w:t>
      </w:r>
      <w:r w:rsidR="001421C0" w:rsidRPr="006B56E8">
        <w:rPr>
          <w:rFonts w:ascii="Arial" w:hAnsi="Arial" w:cs="Arial"/>
        </w:rPr>
        <w:t xml:space="preserve"> </w:t>
      </w:r>
      <w:r w:rsidRPr="006B56E8">
        <w:rPr>
          <w:rFonts w:ascii="Arial" w:hAnsi="Arial" w:cs="Arial"/>
        </w:rPr>
        <w:t xml:space="preserve">funds through the planned </w:t>
      </w:r>
      <w:r w:rsidR="0002440A">
        <w:rPr>
          <w:rFonts w:ascii="Arial" w:hAnsi="Arial" w:cs="Arial"/>
          <w:szCs w:val="24"/>
        </w:rPr>
        <w:t>CRS</w:t>
      </w:r>
      <w:r w:rsidRPr="006B56E8">
        <w:rPr>
          <w:rFonts w:ascii="Arial" w:hAnsi="Arial" w:cs="Arial"/>
        </w:rPr>
        <w:t xml:space="preserve"> project will be affected by the nature, purpose and characterization of the </w:t>
      </w:r>
      <w:r w:rsidR="0002440A">
        <w:rPr>
          <w:rFonts w:ascii="Arial" w:hAnsi="Arial" w:cs="Arial"/>
          <w:szCs w:val="24"/>
        </w:rPr>
        <w:t>CRS</w:t>
      </w:r>
      <w:r w:rsidRPr="006B56E8">
        <w:rPr>
          <w:rFonts w:ascii="Arial" w:hAnsi="Arial" w:cs="Arial"/>
        </w:rPr>
        <w:t xml:space="preserve"> model. The </w:t>
      </w:r>
      <w:r w:rsidR="0002440A">
        <w:rPr>
          <w:rFonts w:ascii="Arial" w:hAnsi="Arial" w:cs="Arial"/>
          <w:szCs w:val="24"/>
        </w:rPr>
        <w:t>CRS</w:t>
      </w:r>
      <w:r w:rsidRPr="006B56E8">
        <w:rPr>
          <w:rFonts w:ascii="Arial" w:hAnsi="Arial" w:cs="Arial"/>
        </w:rPr>
        <w:t xml:space="preserve"> is intended to be a single point of entry into the </w:t>
      </w:r>
      <w:r w:rsidR="000872B1" w:rsidRPr="006B56E8">
        <w:rPr>
          <w:rFonts w:ascii="Arial" w:hAnsi="Arial" w:cs="Arial"/>
        </w:rPr>
        <w:t xml:space="preserve">local </w:t>
      </w:r>
      <w:r w:rsidRPr="006B56E8">
        <w:rPr>
          <w:rFonts w:ascii="Arial" w:hAnsi="Arial" w:cs="Arial"/>
        </w:rPr>
        <w:t>Behavioral Health system for</w:t>
      </w:r>
      <w:r w:rsidR="000872B1" w:rsidRPr="006B56E8">
        <w:rPr>
          <w:rFonts w:ascii="Arial" w:hAnsi="Arial" w:cs="Arial"/>
        </w:rPr>
        <w:t xml:space="preserve"> use by</w:t>
      </w:r>
      <w:r w:rsidRPr="006B56E8">
        <w:rPr>
          <w:rFonts w:ascii="Arial" w:hAnsi="Arial" w:cs="Arial"/>
        </w:rPr>
        <w:t xml:space="preserve"> law enforcement as well as consumers and their family members’ if applicable. The population intended to benefit from </w:t>
      </w:r>
      <w:r w:rsidR="0002440A">
        <w:rPr>
          <w:rFonts w:ascii="Arial" w:hAnsi="Arial" w:cs="Arial"/>
          <w:szCs w:val="24"/>
        </w:rPr>
        <w:t>CRS</w:t>
      </w:r>
      <w:r w:rsidRPr="006B56E8">
        <w:rPr>
          <w:rFonts w:ascii="Arial" w:hAnsi="Arial" w:cs="Arial"/>
        </w:rPr>
        <w:t xml:space="preserve"> services </w:t>
      </w:r>
      <w:r w:rsidR="000872B1" w:rsidRPr="006B56E8">
        <w:rPr>
          <w:rFonts w:ascii="Arial" w:hAnsi="Arial" w:cs="Arial"/>
        </w:rPr>
        <w:t xml:space="preserve">are </w:t>
      </w:r>
      <w:r w:rsidRPr="006B56E8">
        <w:rPr>
          <w:rFonts w:ascii="Arial" w:hAnsi="Arial" w:cs="Arial"/>
        </w:rPr>
        <w:t xml:space="preserve">those citizens affected by </w:t>
      </w:r>
      <w:r w:rsidR="005C4915" w:rsidRPr="006B56E8">
        <w:rPr>
          <w:rFonts w:ascii="Arial" w:hAnsi="Arial" w:cs="Arial"/>
        </w:rPr>
        <w:t xml:space="preserve">significant </w:t>
      </w:r>
      <w:r w:rsidR="000E4787">
        <w:rPr>
          <w:rFonts w:ascii="Arial" w:hAnsi="Arial" w:cs="Arial"/>
        </w:rPr>
        <w:t>B</w:t>
      </w:r>
      <w:r w:rsidRPr="006B56E8">
        <w:rPr>
          <w:rFonts w:ascii="Arial" w:hAnsi="Arial" w:cs="Arial"/>
        </w:rPr>
        <w:t xml:space="preserve">ehavioral </w:t>
      </w:r>
      <w:r w:rsidR="000E4787">
        <w:rPr>
          <w:rFonts w:ascii="Arial" w:hAnsi="Arial" w:cs="Arial"/>
        </w:rPr>
        <w:t>H</w:t>
      </w:r>
      <w:r w:rsidRPr="006B56E8">
        <w:rPr>
          <w:rFonts w:ascii="Arial" w:hAnsi="Arial" w:cs="Arial"/>
        </w:rPr>
        <w:t xml:space="preserve">ealth or </w:t>
      </w:r>
      <w:r w:rsidR="000E4787">
        <w:rPr>
          <w:rFonts w:ascii="Arial" w:hAnsi="Arial" w:cs="Arial"/>
        </w:rPr>
        <w:t>S</w:t>
      </w:r>
      <w:r w:rsidRPr="006B56E8">
        <w:rPr>
          <w:rFonts w:ascii="Arial" w:hAnsi="Arial" w:cs="Arial"/>
        </w:rPr>
        <w:t xml:space="preserve">ubstance </w:t>
      </w:r>
      <w:r w:rsidR="00411C2B">
        <w:rPr>
          <w:rFonts w:ascii="Arial" w:hAnsi="Arial" w:cs="Arial"/>
        </w:rPr>
        <w:t>U</w:t>
      </w:r>
      <w:r w:rsidRPr="006B56E8">
        <w:rPr>
          <w:rFonts w:ascii="Arial" w:hAnsi="Arial" w:cs="Arial"/>
        </w:rPr>
        <w:t xml:space="preserve">se </w:t>
      </w:r>
      <w:r w:rsidR="008C1801" w:rsidRPr="006B56E8">
        <w:rPr>
          <w:rFonts w:ascii="Arial" w:hAnsi="Arial" w:cs="Arial"/>
        </w:rPr>
        <w:t>cris</w:t>
      </w:r>
      <w:r w:rsidR="005C4915" w:rsidRPr="006B56E8">
        <w:rPr>
          <w:rFonts w:ascii="Arial" w:hAnsi="Arial" w:cs="Arial"/>
        </w:rPr>
        <w:t>es</w:t>
      </w:r>
      <w:r w:rsidR="008C1801" w:rsidRPr="006B56E8">
        <w:rPr>
          <w:rFonts w:ascii="Arial" w:hAnsi="Arial" w:cs="Arial"/>
        </w:rPr>
        <w:t xml:space="preserve">. Through the </w:t>
      </w:r>
      <w:r w:rsidR="0002440A">
        <w:rPr>
          <w:rFonts w:ascii="Arial" w:hAnsi="Arial" w:cs="Arial"/>
          <w:szCs w:val="24"/>
        </w:rPr>
        <w:t>CRS</w:t>
      </w:r>
      <w:r w:rsidR="008C1801" w:rsidRPr="006B56E8">
        <w:rPr>
          <w:rFonts w:ascii="Arial" w:hAnsi="Arial" w:cs="Arial"/>
        </w:rPr>
        <w:t xml:space="preserve">, this group will be assisted </w:t>
      </w:r>
      <w:r w:rsidR="005C4915" w:rsidRPr="006B56E8">
        <w:rPr>
          <w:rFonts w:ascii="Arial" w:hAnsi="Arial" w:cs="Arial"/>
        </w:rPr>
        <w:t>to</w:t>
      </w:r>
      <w:r w:rsidRPr="006B56E8">
        <w:rPr>
          <w:rFonts w:ascii="Arial" w:hAnsi="Arial" w:cs="Arial"/>
        </w:rPr>
        <w:t xml:space="preserve"> </w:t>
      </w:r>
      <w:r w:rsidR="008C1801" w:rsidRPr="006B56E8">
        <w:rPr>
          <w:rFonts w:ascii="Arial" w:hAnsi="Arial" w:cs="Arial"/>
        </w:rPr>
        <w:t>secur</w:t>
      </w:r>
      <w:r w:rsidRPr="006B56E8">
        <w:rPr>
          <w:rFonts w:ascii="Arial" w:hAnsi="Arial" w:cs="Arial"/>
        </w:rPr>
        <w:t>e immediate access to assessment</w:t>
      </w:r>
      <w:r w:rsidR="005C4915" w:rsidRPr="006B56E8">
        <w:rPr>
          <w:rFonts w:ascii="Arial" w:hAnsi="Arial" w:cs="Arial"/>
        </w:rPr>
        <w:t xml:space="preserve"> services</w:t>
      </w:r>
      <w:r w:rsidRPr="006B56E8">
        <w:rPr>
          <w:rFonts w:ascii="Arial" w:hAnsi="Arial" w:cs="Arial"/>
        </w:rPr>
        <w:t xml:space="preserve"> and appropriate placement. </w:t>
      </w:r>
      <w:r w:rsidR="002127B8" w:rsidRPr="00480CDE">
        <w:rPr>
          <w:rFonts w:ascii="Arial" w:hAnsi="Arial" w:cs="Arial"/>
        </w:rPr>
        <w:t xml:space="preserve">The Provider chosen to operate the CRS utilizes evidence based and culturally </w:t>
      </w:r>
      <w:r w:rsidR="00B27A43" w:rsidRPr="00480CDE">
        <w:rPr>
          <w:rFonts w:ascii="Arial" w:hAnsi="Arial" w:cs="Arial"/>
        </w:rPr>
        <w:t>appropriate</w:t>
      </w:r>
      <w:r w:rsidR="002127B8" w:rsidRPr="00480CDE">
        <w:rPr>
          <w:rFonts w:ascii="Arial" w:hAnsi="Arial" w:cs="Arial"/>
        </w:rPr>
        <w:t xml:space="preserve"> </w:t>
      </w:r>
      <w:r w:rsidR="00B27A43" w:rsidRPr="00480CDE">
        <w:rPr>
          <w:rFonts w:ascii="Arial" w:hAnsi="Arial" w:cs="Arial"/>
        </w:rPr>
        <w:t xml:space="preserve">clinical </w:t>
      </w:r>
      <w:r w:rsidR="002127B8" w:rsidRPr="00480CDE">
        <w:rPr>
          <w:rFonts w:ascii="Arial" w:hAnsi="Arial" w:cs="Arial"/>
        </w:rPr>
        <w:t xml:space="preserve">practices.  </w:t>
      </w:r>
    </w:p>
    <w:p w14:paraId="52B0E9BA" w14:textId="4CB03B6B" w:rsidR="00274264" w:rsidRPr="00464C75" w:rsidRDefault="0002440A" w:rsidP="001921E7">
      <w:pPr>
        <w:tabs>
          <w:tab w:val="left" w:pos="7050"/>
        </w:tabs>
        <w:jc w:val="both"/>
        <w:rPr>
          <w:rFonts w:ascii="Arial" w:hAnsi="Arial" w:cs="Arial"/>
          <w:bCs/>
        </w:rPr>
      </w:pPr>
      <w:proofErr w:type="gramStart"/>
      <w:r w:rsidRPr="00480CDE">
        <w:rPr>
          <w:rFonts w:ascii="Arial" w:hAnsi="Arial" w:cs="Arial"/>
          <w:szCs w:val="24"/>
        </w:rPr>
        <w:t>CRS</w:t>
      </w:r>
      <w:r w:rsidR="005C4915" w:rsidRPr="00480CDE">
        <w:rPr>
          <w:rFonts w:ascii="Arial" w:hAnsi="Arial" w:cs="Arial"/>
        </w:rPr>
        <w:t>’s</w:t>
      </w:r>
      <w:proofErr w:type="gramEnd"/>
      <w:r w:rsidR="005C4915" w:rsidRPr="00480CDE">
        <w:rPr>
          <w:rFonts w:ascii="Arial" w:hAnsi="Arial" w:cs="Arial"/>
        </w:rPr>
        <w:t xml:space="preserve"> are designed</w:t>
      </w:r>
      <w:r w:rsidR="008B3839" w:rsidRPr="00480CDE">
        <w:rPr>
          <w:rFonts w:ascii="Arial" w:hAnsi="Arial" w:cs="Arial"/>
        </w:rPr>
        <w:t xml:space="preserve"> in principle</w:t>
      </w:r>
      <w:r w:rsidR="005C4915" w:rsidRPr="00480CDE">
        <w:rPr>
          <w:rFonts w:ascii="Arial" w:hAnsi="Arial" w:cs="Arial"/>
        </w:rPr>
        <w:t xml:space="preserve"> to accept all those who are presented at their doors and are in need of immediate crisis care.  It is well-established that behavioral health issues affect all citizens without consideration of income, race, general or ethnicity. </w:t>
      </w:r>
      <w:r w:rsidR="00274264" w:rsidRPr="00480CDE">
        <w:rPr>
          <w:rFonts w:ascii="Arial" w:hAnsi="Arial" w:cs="Arial"/>
        </w:rPr>
        <w:t xml:space="preserve">Hence, the catalyst </w:t>
      </w:r>
      <w:r w:rsidR="00274264" w:rsidRPr="00480CDE">
        <w:rPr>
          <w:rFonts w:ascii="Arial" w:hAnsi="Arial" w:cs="Arial"/>
          <w:bCs/>
        </w:rPr>
        <w:t>for identifying those who will receive services will be determined by the extent of behavioral health issues among the population</w:t>
      </w:r>
      <w:r w:rsidR="008B3839" w:rsidRPr="00480CDE">
        <w:rPr>
          <w:rFonts w:ascii="Arial" w:hAnsi="Arial" w:cs="Arial"/>
          <w:bCs/>
        </w:rPr>
        <w:t>s</w:t>
      </w:r>
      <w:r w:rsidR="00274264" w:rsidRPr="00480CDE">
        <w:rPr>
          <w:rFonts w:ascii="Arial" w:hAnsi="Arial" w:cs="Arial"/>
          <w:bCs/>
        </w:rPr>
        <w:t xml:space="preserve"> presenting the need for the specialized type of services offered by a </w:t>
      </w:r>
      <w:r w:rsidRPr="00480CDE">
        <w:rPr>
          <w:rFonts w:ascii="Arial" w:hAnsi="Arial" w:cs="Arial"/>
          <w:bCs/>
          <w:szCs w:val="24"/>
        </w:rPr>
        <w:t>CRS</w:t>
      </w:r>
      <w:r w:rsidR="00274264" w:rsidRPr="00480CDE">
        <w:rPr>
          <w:rFonts w:ascii="Arial" w:hAnsi="Arial" w:cs="Arial"/>
          <w:bCs/>
        </w:rPr>
        <w:t xml:space="preserve">. </w:t>
      </w:r>
      <w:r w:rsidR="00B27A43" w:rsidRPr="00480CDE">
        <w:rPr>
          <w:rFonts w:ascii="Arial" w:hAnsi="Arial" w:cs="Arial"/>
          <w:bCs/>
        </w:rPr>
        <w:t xml:space="preserve"> Enabling public access to services reduces the stigma of involving law enforcement and promotes the use of CR</w:t>
      </w:r>
      <w:r w:rsidR="00A7726B" w:rsidRPr="00480CDE">
        <w:rPr>
          <w:rFonts w:ascii="Arial" w:hAnsi="Arial" w:cs="Arial"/>
          <w:bCs/>
        </w:rPr>
        <w:t>S</w:t>
      </w:r>
      <w:r w:rsidR="00B27A43" w:rsidRPr="00480CDE">
        <w:rPr>
          <w:rFonts w:ascii="Arial" w:hAnsi="Arial" w:cs="Arial"/>
          <w:bCs/>
        </w:rPr>
        <w:t xml:space="preserve"> services for those traditionally under-served communities.</w:t>
      </w:r>
      <w:r w:rsidR="00B27A43">
        <w:rPr>
          <w:rFonts w:ascii="Arial" w:hAnsi="Arial" w:cs="Arial"/>
          <w:bCs/>
        </w:rPr>
        <w:t xml:space="preserve">  </w:t>
      </w:r>
    </w:p>
    <w:p w14:paraId="0DCB6310" w14:textId="657EDD66" w:rsidR="00BB3408" w:rsidRDefault="008B3839" w:rsidP="001921E7">
      <w:pPr>
        <w:spacing w:after="0" w:line="240" w:lineRule="auto"/>
        <w:jc w:val="both"/>
        <w:rPr>
          <w:rFonts w:ascii="Arial" w:eastAsia="Calibri" w:hAnsi="Arial" w:cs="Arial"/>
        </w:rPr>
      </w:pPr>
      <w:r>
        <w:rPr>
          <w:rFonts w:ascii="Arial" w:eastAsia="Calibri" w:hAnsi="Arial" w:cs="Arial"/>
        </w:rPr>
        <w:t xml:space="preserve">There is </w:t>
      </w:r>
      <w:r w:rsidR="00115A1B">
        <w:rPr>
          <w:rFonts w:ascii="Arial" w:eastAsia="Calibri" w:hAnsi="Arial" w:cs="Arial"/>
        </w:rPr>
        <w:t>a strong commitment</w:t>
      </w:r>
      <w:r w:rsidR="00BB3408">
        <w:rPr>
          <w:rFonts w:ascii="Arial" w:eastAsia="Calibri" w:hAnsi="Arial" w:cs="Arial"/>
        </w:rPr>
        <w:t xml:space="preserve"> in the County</w:t>
      </w:r>
      <w:r w:rsidR="00115A1B">
        <w:rPr>
          <w:rFonts w:ascii="Arial" w:eastAsia="Calibri" w:hAnsi="Arial" w:cs="Arial"/>
        </w:rPr>
        <w:t xml:space="preserve"> that</w:t>
      </w:r>
      <w:r w:rsidR="00BB3408">
        <w:rPr>
          <w:rFonts w:ascii="Arial" w:eastAsia="Calibri" w:hAnsi="Arial" w:cs="Arial"/>
        </w:rPr>
        <w:t xml:space="preserve"> </w:t>
      </w:r>
      <w:r w:rsidR="00115A1B">
        <w:rPr>
          <w:rFonts w:ascii="Arial" w:eastAsia="Calibri" w:hAnsi="Arial" w:cs="Arial"/>
        </w:rPr>
        <w:t>targeted goals and outcomes</w:t>
      </w:r>
      <w:r w:rsidR="00BB3408">
        <w:rPr>
          <w:rFonts w:ascii="Arial" w:eastAsia="Calibri" w:hAnsi="Arial" w:cs="Arial"/>
        </w:rPr>
        <w:t xml:space="preserve"> should be established</w:t>
      </w:r>
      <w:r w:rsidR="00115A1B">
        <w:rPr>
          <w:rFonts w:ascii="Arial" w:eastAsia="Calibri" w:hAnsi="Arial" w:cs="Arial"/>
        </w:rPr>
        <w:t xml:space="preserve"> which demonstrate that </w:t>
      </w:r>
      <w:r w:rsidR="00BB3408">
        <w:rPr>
          <w:rFonts w:ascii="Arial" w:eastAsia="Calibri" w:hAnsi="Arial" w:cs="Arial"/>
        </w:rPr>
        <w:t>we</w:t>
      </w:r>
      <w:r w:rsidR="00115A1B">
        <w:rPr>
          <w:rFonts w:ascii="Arial" w:eastAsia="Calibri" w:hAnsi="Arial" w:cs="Arial"/>
        </w:rPr>
        <w:t xml:space="preserve"> </w:t>
      </w:r>
      <w:r w:rsidR="00BB3408">
        <w:rPr>
          <w:rFonts w:ascii="Arial" w:eastAsia="Calibri" w:hAnsi="Arial" w:cs="Arial"/>
        </w:rPr>
        <w:t>are</w:t>
      </w:r>
      <w:r w:rsidR="00115A1B">
        <w:rPr>
          <w:rFonts w:ascii="Arial" w:eastAsia="Calibri" w:hAnsi="Arial" w:cs="Arial"/>
        </w:rPr>
        <w:t xml:space="preserve"> using SLFRF funds in a manner that is equitable, fair and </w:t>
      </w:r>
      <w:r w:rsidR="00B27A43">
        <w:rPr>
          <w:rFonts w:ascii="Arial" w:eastAsia="Calibri" w:hAnsi="Arial" w:cs="Arial"/>
        </w:rPr>
        <w:t>considers</w:t>
      </w:r>
      <w:r w:rsidR="00115A1B">
        <w:rPr>
          <w:rFonts w:ascii="Arial" w:eastAsia="Calibri" w:hAnsi="Arial" w:cs="Arial"/>
        </w:rPr>
        <w:t xml:space="preserve"> historic lack of access </w:t>
      </w:r>
      <w:r w:rsidR="00BB3408">
        <w:rPr>
          <w:rFonts w:ascii="Arial" w:eastAsia="Calibri" w:hAnsi="Arial" w:cs="Arial"/>
        </w:rPr>
        <w:t xml:space="preserve">to services </w:t>
      </w:r>
      <w:r w:rsidR="00115A1B">
        <w:rPr>
          <w:rFonts w:ascii="Arial" w:eastAsia="Calibri" w:hAnsi="Arial" w:cs="Arial"/>
        </w:rPr>
        <w:t xml:space="preserve">among </w:t>
      </w:r>
      <w:r w:rsidR="00BB3408">
        <w:rPr>
          <w:rFonts w:ascii="Arial" w:eastAsia="Calibri" w:hAnsi="Arial" w:cs="Arial"/>
        </w:rPr>
        <w:t xml:space="preserve">our </w:t>
      </w:r>
      <w:r w:rsidR="00115A1B">
        <w:rPr>
          <w:rFonts w:ascii="Arial" w:eastAsia="Calibri" w:hAnsi="Arial" w:cs="Arial"/>
        </w:rPr>
        <w:t xml:space="preserve">different populations. Demographic data </w:t>
      </w:r>
      <w:r w:rsidR="00BB3408">
        <w:rPr>
          <w:rFonts w:ascii="Arial" w:eastAsia="Calibri" w:hAnsi="Arial" w:cs="Arial"/>
        </w:rPr>
        <w:t xml:space="preserve">is </w:t>
      </w:r>
      <w:r w:rsidR="00115A1B">
        <w:rPr>
          <w:rFonts w:ascii="Arial" w:eastAsia="Calibri" w:hAnsi="Arial" w:cs="Arial"/>
        </w:rPr>
        <w:t xml:space="preserve">available </w:t>
      </w:r>
      <w:r w:rsidR="00BB3408">
        <w:rPr>
          <w:rFonts w:ascii="Arial" w:eastAsia="Calibri" w:hAnsi="Arial" w:cs="Arial"/>
        </w:rPr>
        <w:t xml:space="preserve">and </w:t>
      </w:r>
      <w:r w:rsidR="00115A1B">
        <w:rPr>
          <w:rFonts w:ascii="Arial" w:eastAsia="Calibri" w:hAnsi="Arial" w:cs="Arial"/>
        </w:rPr>
        <w:t xml:space="preserve">will assist in preparation of a thoughtful and responsive platform for CRS program development. </w:t>
      </w:r>
    </w:p>
    <w:p w14:paraId="5B861640" w14:textId="26D90ABA" w:rsidR="00BB3408" w:rsidRDefault="00BB3408" w:rsidP="001921E7">
      <w:pPr>
        <w:spacing w:after="0" w:line="240" w:lineRule="auto"/>
        <w:jc w:val="both"/>
        <w:rPr>
          <w:rFonts w:ascii="Arial" w:eastAsia="Calibri" w:hAnsi="Arial" w:cs="Arial"/>
        </w:rPr>
      </w:pPr>
    </w:p>
    <w:p w14:paraId="185D1C5B" w14:textId="0516CFEF" w:rsidR="0061601A" w:rsidRPr="001921E7" w:rsidRDefault="0061601A" w:rsidP="0061601A">
      <w:pPr>
        <w:spacing w:after="0" w:line="240" w:lineRule="auto"/>
        <w:jc w:val="both"/>
        <w:rPr>
          <w:rFonts w:ascii="Arial" w:eastAsia="Calibri" w:hAnsi="Arial" w:cs="Arial"/>
        </w:rPr>
      </w:pPr>
      <w:r w:rsidRPr="001921E7">
        <w:rPr>
          <w:rFonts w:ascii="Arial" w:eastAsia="Calibri" w:hAnsi="Arial" w:cs="Arial"/>
        </w:rPr>
        <w:t xml:space="preserve">Research </w:t>
      </w:r>
      <w:r>
        <w:rPr>
          <w:rFonts w:ascii="Arial" w:eastAsia="Calibri" w:hAnsi="Arial" w:cs="Arial"/>
        </w:rPr>
        <w:t xml:space="preserve">nationally </w:t>
      </w:r>
      <w:r w:rsidRPr="001921E7">
        <w:rPr>
          <w:rFonts w:ascii="Arial" w:eastAsia="Calibri" w:hAnsi="Arial" w:cs="Arial"/>
        </w:rPr>
        <w:t xml:space="preserve">in the mental health field repeatedly demonstrates some populations are under-served due to cultural boundaries, lack of transportation, insurance, and financial resources.  For example, “studies show that ethnic minority populations are just as much at risk for mental health conditions as their white counterparts, but receive substantially less treatment “(NAMI, 2017).  According to the American Psychiatric Association, “while trends have shown that overall rates of mental health treatment have increased, gaps in access to mental health treatment </w:t>
      </w:r>
      <w:r w:rsidRPr="001921E7">
        <w:rPr>
          <w:rFonts w:ascii="Arial" w:eastAsia="Calibri" w:hAnsi="Arial" w:cs="Arial"/>
        </w:rPr>
        <w:lastRenderedPageBreak/>
        <w:t>between African-Americans, Latinos, and non-Latino whites continue to persist” (APA, 2017).  In 2018, 58.2% of Black and African American young adults aged 18-25 and 50.1% of adults aged 26-49 with serious mental illness did NOT receive treatment.  Additionally, nearly 90 percent of Black and African American people over the age of 12 with a substance use disorder did NOT receive treatment</w:t>
      </w:r>
      <w:r w:rsidRPr="00480CDE">
        <w:rPr>
          <w:rFonts w:ascii="Arial" w:eastAsia="Calibri" w:hAnsi="Arial" w:cs="Arial"/>
        </w:rPr>
        <w:t>.</w:t>
      </w:r>
      <w:r w:rsidRPr="00480CDE">
        <w:rPr>
          <w:rStyle w:val="FootnoteReference"/>
          <w:rFonts w:ascii="Arial" w:eastAsia="Calibri" w:hAnsi="Arial" w:cs="Arial"/>
        </w:rPr>
        <w:footnoteReference w:id="2"/>
      </w:r>
      <w:r w:rsidR="008B70C5" w:rsidRPr="00480CDE">
        <w:rPr>
          <w:rFonts w:ascii="Arial" w:eastAsia="Calibri" w:hAnsi="Arial" w:cs="Arial"/>
        </w:rPr>
        <w:t xml:space="preserve">  Again, the open and no wrong door approach of the CRS addresses these gaps.</w:t>
      </w:r>
      <w:r w:rsidR="008B70C5">
        <w:rPr>
          <w:rFonts w:ascii="Arial" w:eastAsia="Calibri" w:hAnsi="Arial" w:cs="Arial"/>
        </w:rPr>
        <w:t xml:space="preserve">  </w:t>
      </w:r>
    </w:p>
    <w:p w14:paraId="16534E9D" w14:textId="77777777" w:rsidR="0061601A" w:rsidRDefault="0061601A" w:rsidP="001921E7">
      <w:pPr>
        <w:spacing w:after="0" w:line="240" w:lineRule="auto"/>
        <w:jc w:val="both"/>
        <w:rPr>
          <w:rFonts w:ascii="Arial" w:eastAsia="Calibri" w:hAnsi="Arial" w:cs="Arial"/>
        </w:rPr>
      </w:pPr>
    </w:p>
    <w:p w14:paraId="6716ED55" w14:textId="4D3FBBCA" w:rsidR="003149B7" w:rsidRPr="001921E7" w:rsidRDefault="0061601A" w:rsidP="001921E7">
      <w:pPr>
        <w:spacing w:after="0" w:line="240" w:lineRule="auto"/>
        <w:jc w:val="both"/>
        <w:rPr>
          <w:rFonts w:ascii="Arial" w:eastAsia="Calibri" w:hAnsi="Arial" w:cs="Arial"/>
        </w:rPr>
      </w:pPr>
      <w:r>
        <w:rPr>
          <w:rFonts w:ascii="Arial" w:eastAsia="Calibri" w:hAnsi="Arial" w:cs="Arial"/>
        </w:rPr>
        <w:t xml:space="preserve">Our planned activities to achieve outcomes related to increasing equity and access are based on the current make up and population trends.   </w:t>
      </w:r>
      <w:r w:rsidR="003149B7" w:rsidRPr="001921E7">
        <w:rPr>
          <w:rFonts w:ascii="Arial" w:eastAsia="Calibri" w:hAnsi="Arial" w:cs="Arial"/>
        </w:rPr>
        <w:t>According to the U.S. Census population estimates for July 2019, almost 70% of Alachua County is comprised of white people, followed by over 20% Black or African American, and over 6% Asian.  Additionally, over 10% of the population reports a Hispanic or Latino origin.  The following data table provides a snapshot of the racial make-up of Alachua County.</w:t>
      </w:r>
    </w:p>
    <w:p w14:paraId="759BB3E9" w14:textId="77777777" w:rsidR="003149B7" w:rsidRPr="001921E7" w:rsidRDefault="003149B7" w:rsidP="001921E7">
      <w:pPr>
        <w:spacing w:after="0" w:line="240" w:lineRule="auto"/>
        <w:jc w:val="both"/>
        <w:rPr>
          <w:rFonts w:ascii="Arial" w:eastAsia="Calibri" w:hAnsi="Arial" w:cs="Arial"/>
        </w:rPr>
      </w:pPr>
      <w:bookmarkStart w:id="0" w:name="_Hlk84232663"/>
    </w:p>
    <w:p w14:paraId="7151F045" w14:textId="21140562" w:rsidR="003149B7" w:rsidRPr="001921E7" w:rsidRDefault="00EC279E" w:rsidP="001921E7">
      <w:pPr>
        <w:spacing w:after="0" w:line="240" w:lineRule="auto"/>
        <w:ind w:left="1440"/>
        <w:jc w:val="both"/>
        <w:rPr>
          <w:rFonts w:ascii="Arial" w:eastAsia="Calibri" w:hAnsi="Arial" w:cs="Arial"/>
          <w:b/>
        </w:rPr>
      </w:pPr>
      <w:r w:rsidRPr="001921E7">
        <w:rPr>
          <w:rFonts w:ascii="Arial" w:eastAsia="Calibri" w:hAnsi="Arial" w:cs="Arial"/>
        </w:rPr>
        <w:t xml:space="preserve">     </w:t>
      </w:r>
      <w:r w:rsidR="003149B7" w:rsidRPr="001921E7">
        <w:rPr>
          <w:rFonts w:ascii="Arial" w:eastAsia="Calibri" w:hAnsi="Arial" w:cs="Arial"/>
          <w:b/>
        </w:rPr>
        <w:t xml:space="preserve">Race and Hispanic Origin* </w:t>
      </w:r>
      <w:r w:rsidR="003149B7" w:rsidRPr="001921E7">
        <w:rPr>
          <w:rFonts w:ascii="Arial" w:eastAsia="Calibri" w:hAnsi="Arial" w:cs="Arial"/>
          <w:b/>
        </w:rPr>
        <w:tab/>
      </w:r>
      <w:r w:rsidR="003149B7" w:rsidRPr="001921E7">
        <w:rPr>
          <w:rFonts w:ascii="Arial" w:eastAsia="Calibri" w:hAnsi="Arial" w:cs="Arial"/>
          <w:b/>
        </w:rPr>
        <w:tab/>
      </w:r>
      <w:r w:rsidR="00384708">
        <w:rPr>
          <w:rFonts w:ascii="Arial" w:eastAsia="Calibri" w:hAnsi="Arial" w:cs="Arial"/>
          <w:b/>
        </w:rPr>
        <w:t xml:space="preserve">         </w:t>
      </w:r>
      <w:r w:rsidR="003149B7" w:rsidRPr="001921E7">
        <w:rPr>
          <w:rFonts w:ascii="Arial" w:eastAsia="Calibri" w:hAnsi="Arial" w:cs="Arial"/>
          <w:b/>
        </w:rPr>
        <w:t xml:space="preserve"> % of Population</w:t>
      </w:r>
    </w:p>
    <w:tbl>
      <w:tblPr>
        <w:tblStyle w:val="TableGrid"/>
        <w:tblW w:w="0" w:type="auto"/>
        <w:jc w:val="center"/>
        <w:tblLook w:val="04A0" w:firstRow="1" w:lastRow="0" w:firstColumn="1" w:lastColumn="0" w:noHBand="0" w:noVBand="1"/>
      </w:tblPr>
      <w:tblGrid>
        <w:gridCol w:w="5153"/>
        <w:gridCol w:w="1710"/>
      </w:tblGrid>
      <w:tr w:rsidR="003149B7" w:rsidRPr="005328FF" w14:paraId="2AE09C4F" w14:textId="77777777" w:rsidTr="00464C75">
        <w:trPr>
          <w:jc w:val="center"/>
        </w:trPr>
        <w:tc>
          <w:tcPr>
            <w:tcW w:w="5153" w:type="dxa"/>
          </w:tcPr>
          <w:p w14:paraId="6F7B865E" w14:textId="77777777" w:rsidR="003149B7" w:rsidRPr="001921E7" w:rsidRDefault="003149B7" w:rsidP="001921E7">
            <w:pPr>
              <w:jc w:val="both"/>
              <w:rPr>
                <w:rFonts w:ascii="Arial" w:eastAsia="Calibri" w:hAnsi="Arial" w:cs="Arial"/>
              </w:rPr>
            </w:pPr>
            <w:r w:rsidRPr="001921E7">
              <w:rPr>
                <w:rFonts w:ascii="Arial" w:eastAsia="Calibri" w:hAnsi="Arial" w:cs="Arial"/>
              </w:rPr>
              <w:t>White</w:t>
            </w:r>
          </w:p>
        </w:tc>
        <w:tc>
          <w:tcPr>
            <w:tcW w:w="1710" w:type="dxa"/>
          </w:tcPr>
          <w:p w14:paraId="70DEB55D" w14:textId="77777777" w:rsidR="003149B7" w:rsidRPr="001921E7" w:rsidRDefault="003149B7" w:rsidP="00464C75">
            <w:pPr>
              <w:jc w:val="right"/>
              <w:rPr>
                <w:rFonts w:ascii="Arial" w:eastAsia="Calibri" w:hAnsi="Arial" w:cs="Arial"/>
              </w:rPr>
            </w:pPr>
            <w:r w:rsidRPr="001921E7">
              <w:rPr>
                <w:rFonts w:ascii="Arial" w:eastAsia="Calibri" w:hAnsi="Arial" w:cs="Arial"/>
              </w:rPr>
              <w:t>69.9%</w:t>
            </w:r>
          </w:p>
        </w:tc>
      </w:tr>
      <w:tr w:rsidR="003149B7" w:rsidRPr="005328FF" w14:paraId="535D4A78" w14:textId="77777777" w:rsidTr="00464C75">
        <w:trPr>
          <w:jc w:val="center"/>
        </w:trPr>
        <w:tc>
          <w:tcPr>
            <w:tcW w:w="5153" w:type="dxa"/>
          </w:tcPr>
          <w:p w14:paraId="05D94F5B" w14:textId="77777777" w:rsidR="003149B7" w:rsidRPr="001921E7" w:rsidRDefault="003149B7" w:rsidP="001921E7">
            <w:pPr>
              <w:jc w:val="both"/>
              <w:rPr>
                <w:rFonts w:ascii="Arial" w:eastAsia="Calibri" w:hAnsi="Arial" w:cs="Arial"/>
              </w:rPr>
            </w:pPr>
            <w:r w:rsidRPr="001921E7">
              <w:rPr>
                <w:rFonts w:ascii="Arial" w:eastAsia="Calibri" w:hAnsi="Arial" w:cs="Arial"/>
              </w:rPr>
              <w:t>Black or African American</w:t>
            </w:r>
          </w:p>
        </w:tc>
        <w:tc>
          <w:tcPr>
            <w:tcW w:w="1710" w:type="dxa"/>
          </w:tcPr>
          <w:p w14:paraId="7CC60290" w14:textId="77777777" w:rsidR="003149B7" w:rsidRPr="001921E7" w:rsidRDefault="003149B7" w:rsidP="00464C75">
            <w:pPr>
              <w:jc w:val="right"/>
              <w:rPr>
                <w:rFonts w:ascii="Arial" w:eastAsia="Calibri" w:hAnsi="Arial" w:cs="Arial"/>
              </w:rPr>
            </w:pPr>
            <w:r w:rsidRPr="001921E7">
              <w:rPr>
                <w:rFonts w:ascii="Arial" w:eastAsia="Calibri" w:hAnsi="Arial" w:cs="Arial"/>
              </w:rPr>
              <w:t>20.6%</w:t>
            </w:r>
          </w:p>
        </w:tc>
      </w:tr>
      <w:tr w:rsidR="003149B7" w:rsidRPr="005328FF" w14:paraId="7F50631E" w14:textId="77777777" w:rsidTr="00464C75">
        <w:trPr>
          <w:jc w:val="center"/>
        </w:trPr>
        <w:tc>
          <w:tcPr>
            <w:tcW w:w="5153" w:type="dxa"/>
          </w:tcPr>
          <w:p w14:paraId="3CFEB6AF" w14:textId="77777777" w:rsidR="003149B7" w:rsidRPr="001921E7" w:rsidRDefault="003149B7" w:rsidP="001921E7">
            <w:pPr>
              <w:jc w:val="both"/>
              <w:rPr>
                <w:rFonts w:ascii="Arial" w:eastAsia="Calibri" w:hAnsi="Arial" w:cs="Arial"/>
              </w:rPr>
            </w:pPr>
            <w:r w:rsidRPr="001921E7">
              <w:rPr>
                <w:rFonts w:ascii="Arial" w:eastAsia="Calibri" w:hAnsi="Arial" w:cs="Arial"/>
              </w:rPr>
              <w:t>American Indian and Alaska Native</w:t>
            </w:r>
          </w:p>
        </w:tc>
        <w:tc>
          <w:tcPr>
            <w:tcW w:w="1710" w:type="dxa"/>
          </w:tcPr>
          <w:p w14:paraId="12B3304B" w14:textId="77777777" w:rsidR="003149B7" w:rsidRPr="001921E7" w:rsidRDefault="003149B7" w:rsidP="00464C75">
            <w:pPr>
              <w:jc w:val="right"/>
              <w:rPr>
                <w:rFonts w:ascii="Arial" w:eastAsia="Calibri" w:hAnsi="Arial" w:cs="Arial"/>
              </w:rPr>
            </w:pPr>
            <w:r w:rsidRPr="001921E7">
              <w:rPr>
                <w:rFonts w:ascii="Arial" w:eastAsia="Calibri" w:hAnsi="Arial" w:cs="Arial"/>
              </w:rPr>
              <w:t>0.4%</w:t>
            </w:r>
          </w:p>
        </w:tc>
      </w:tr>
      <w:tr w:rsidR="003149B7" w:rsidRPr="005328FF" w14:paraId="6C5A6D71" w14:textId="77777777" w:rsidTr="00464C75">
        <w:trPr>
          <w:jc w:val="center"/>
        </w:trPr>
        <w:tc>
          <w:tcPr>
            <w:tcW w:w="5153" w:type="dxa"/>
          </w:tcPr>
          <w:p w14:paraId="49F766BD" w14:textId="77777777" w:rsidR="003149B7" w:rsidRPr="001921E7" w:rsidRDefault="003149B7" w:rsidP="001921E7">
            <w:pPr>
              <w:jc w:val="both"/>
              <w:rPr>
                <w:rFonts w:ascii="Arial" w:eastAsia="Calibri" w:hAnsi="Arial" w:cs="Arial"/>
              </w:rPr>
            </w:pPr>
            <w:r w:rsidRPr="001921E7">
              <w:rPr>
                <w:rFonts w:ascii="Arial" w:eastAsia="Calibri" w:hAnsi="Arial" w:cs="Arial"/>
              </w:rPr>
              <w:t>Asian</w:t>
            </w:r>
          </w:p>
        </w:tc>
        <w:tc>
          <w:tcPr>
            <w:tcW w:w="1710" w:type="dxa"/>
          </w:tcPr>
          <w:p w14:paraId="332D4FC8" w14:textId="77777777" w:rsidR="003149B7" w:rsidRPr="001921E7" w:rsidRDefault="003149B7" w:rsidP="00464C75">
            <w:pPr>
              <w:jc w:val="right"/>
              <w:rPr>
                <w:rFonts w:ascii="Arial" w:eastAsia="Calibri" w:hAnsi="Arial" w:cs="Arial"/>
              </w:rPr>
            </w:pPr>
            <w:r w:rsidRPr="001921E7">
              <w:rPr>
                <w:rFonts w:ascii="Arial" w:eastAsia="Calibri" w:hAnsi="Arial" w:cs="Arial"/>
              </w:rPr>
              <w:t>6.2%</w:t>
            </w:r>
          </w:p>
        </w:tc>
      </w:tr>
      <w:tr w:rsidR="003149B7" w:rsidRPr="005328FF" w14:paraId="053C5DDE" w14:textId="77777777" w:rsidTr="00464C75">
        <w:trPr>
          <w:jc w:val="center"/>
        </w:trPr>
        <w:tc>
          <w:tcPr>
            <w:tcW w:w="5153" w:type="dxa"/>
          </w:tcPr>
          <w:p w14:paraId="64257452" w14:textId="77777777" w:rsidR="003149B7" w:rsidRPr="001921E7" w:rsidRDefault="003149B7" w:rsidP="001921E7">
            <w:pPr>
              <w:jc w:val="both"/>
              <w:rPr>
                <w:rFonts w:ascii="Arial" w:eastAsia="Calibri" w:hAnsi="Arial" w:cs="Arial"/>
              </w:rPr>
            </w:pPr>
            <w:r w:rsidRPr="001921E7">
              <w:rPr>
                <w:rFonts w:ascii="Arial" w:eastAsia="Calibri" w:hAnsi="Arial" w:cs="Arial"/>
              </w:rPr>
              <w:t>Native Hawaiian and Other Pacific Islander</w:t>
            </w:r>
          </w:p>
        </w:tc>
        <w:tc>
          <w:tcPr>
            <w:tcW w:w="1710" w:type="dxa"/>
          </w:tcPr>
          <w:p w14:paraId="0BEC59C4" w14:textId="77777777" w:rsidR="003149B7" w:rsidRPr="001921E7" w:rsidRDefault="003149B7" w:rsidP="00464C75">
            <w:pPr>
              <w:jc w:val="right"/>
              <w:rPr>
                <w:rFonts w:ascii="Arial" w:eastAsia="Calibri" w:hAnsi="Arial" w:cs="Arial"/>
              </w:rPr>
            </w:pPr>
            <w:r w:rsidRPr="001921E7">
              <w:rPr>
                <w:rFonts w:ascii="Arial" w:eastAsia="Calibri" w:hAnsi="Arial" w:cs="Arial"/>
              </w:rPr>
              <w:t>0.1%</w:t>
            </w:r>
          </w:p>
        </w:tc>
      </w:tr>
      <w:tr w:rsidR="003149B7" w:rsidRPr="005328FF" w14:paraId="0DB82797" w14:textId="77777777" w:rsidTr="00464C75">
        <w:trPr>
          <w:jc w:val="center"/>
        </w:trPr>
        <w:tc>
          <w:tcPr>
            <w:tcW w:w="5153" w:type="dxa"/>
          </w:tcPr>
          <w:p w14:paraId="77E9C0D2" w14:textId="77777777" w:rsidR="003149B7" w:rsidRPr="001921E7" w:rsidRDefault="003149B7" w:rsidP="001921E7">
            <w:pPr>
              <w:jc w:val="both"/>
              <w:rPr>
                <w:rFonts w:ascii="Arial" w:eastAsia="Calibri" w:hAnsi="Arial" w:cs="Arial"/>
              </w:rPr>
            </w:pPr>
            <w:r w:rsidRPr="001921E7">
              <w:rPr>
                <w:rFonts w:ascii="Arial" w:eastAsia="Calibri" w:hAnsi="Arial" w:cs="Arial"/>
              </w:rPr>
              <w:t>Two or More Races</w:t>
            </w:r>
          </w:p>
        </w:tc>
        <w:tc>
          <w:tcPr>
            <w:tcW w:w="1710" w:type="dxa"/>
          </w:tcPr>
          <w:p w14:paraId="5D973AD0" w14:textId="77777777" w:rsidR="003149B7" w:rsidRPr="001921E7" w:rsidRDefault="003149B7" w:rsidP="00464C75">
            <w:pPr>
              <w:jc w:val="right"/>
              <w:rPr>
                <w:rFonts w:ascii="Arial" w:eastAsia="Calibri" w:hAnsi="Arial" w:cs="Arial"/>
              </w:rPr>
            </w:pPr>
            <w:r w:rsidRPr="001921E7">
              <w:rPr>
                <w:rFonts w:ascii="Arial" w:eastAsia="Calibri" w:hAnsi="Arial" w:cs="Arial"/>
              </w:rPr>
              <w:t>2.8%</w:t>
            </w:r>
          </w:p>
        </w:tc>
      </w:tr>
    </w:tbl>
    <w:p w14:paraId="6CD38027" w14:textId="0A599BD2" w:rsidR="003149B7" w:rsidRPr="001921E7" w:rsidRDefault="003149B7" w:rsidP="001921E7">
      <w:pPr>
        <w:spacing w:after="0" w:line="240" w:lineRule="auto"/>
        <w:ind w:left="720" w:firstLine="720"/>
        <w:jc w:val="both"/>
        <w:rPr>
          <w:rFonts w:ascii="Arial" w:eastAsia="Calibri" w:hAnsi="Arial" w:cs="Arial"/>
        </w:rPr>
      </w:pPr>
      <w:r w:rsidRPr="001921E7">
        <w:rPr>
          <w:rFonts w:ascii="Arial" w:eastAsia="Calibri" w:hAnsi="Arial" w:cs="Arial"/>
        </w:rPr>
        <w:t xml:space="preserve">    * Hispanic or Latino Origin = 10.5%</w:t>
      </w:r>
    </w:p>
    <w:bookmarkEnd w:id="0"/>
    <w:p w14:paraId="08E85022" w14:textId="77777777" w:rsidR="003149B7" w:rsidRPr="001921E7" w:rsidRDefault="003149B7" w:rsidP="001921E7">
      <w:pPr>
        <w:spacing w:after="0" w:line="240" w:lineRule="auto"/>
        <w:jc w:val="both"/>
        <w:rPr>
          <w:rFonts w:ascii="Arial" w:eastAsia="Calibri" w:hAnsi="Arial" w:cs="Arial"/>
        </w:rPr>
      </w:pPr>
    </w:p>
    <w:p w14:paraId="4522725D" w14:textId="77777777" w:rsidR="003149B7" w:rsidRPr="008B746D" w:rsidRDefault="003149B7" w:rsidP="001921E7">
      <w:pPr>
        <w:spacing w:after="0" w:line="240" w:lineRule="auto"/>
        <w:jc w:val="both"/>
        <w:rPr>
          <w:rFonts w:ascii="Arial" w:eastAsia="Calibri" w:hAnsi="Arial" w:cs="Arial"/>
        </w:rPr>
      </w:pPr>
    </w:p>
    <w:p w14:paraId="558A210A" w14:textId="3B518F50" w:rsidR="003149B7" w:rsidRDefault="003149B7" w:rsidP="001921E7">
      <w:pPr>
        <w:spacing w:after="0" w:line="240" w:lineRule="auto"/>
        <w:jc w:val="both"/>
        <w:rPr>
          <w:rFonts w:ascii="Arial" w:eastAsia="Calibri" w:hAnsi="Arial" w:cs="Arial"/>
        </w:rPr>
      </w:pPr>
      <w:r w:rsidRPr="008B746D">
        <w:rPr>
          <w:rFonts w:ascii="Arial" w:eastAsia="Calibri" w:hAnsi="Arial" w:cs="Arial"/>
        </w:rPr>
        <w:t xml:space="preserve">In developing its plan </w:t>
      </w:r>
      <w:r w:rsidR="001F0CBB" w:rsidRPr="008B746D">
        <w:rPr>
          <w:rFonts w:ascii="Arial" w:eastAsia="Calibri" w:hAnsi="Arial" w:cs="Arial"/>
        </w:rPr>
        <w:t>for implementation,</w:t>
      </w:r>
      <w:r w:rsidRPr="008B746D">
        <w:rPr>
          <w:rFonts w:ascii="Arial" w:eastAsia="Calibri" w:hAnsi="Arial" w:cs="Arial"/>
        </w:rPr>
        <w:t xml:space="preserve"> </w:t>
      </w:r>
      <w:r w:rsidR="001F0CBB" w:rsidRPr="008B746D">
        <w:rPr>
          <w:rFonts w:ascii="Arial" w:eastAsia="Calibri" w:hAnsi="Arial" w:cs="Arial"/>
        </w:rPr>
        <w:t>t</w:t>
      </w:r>
      <w:r w:rsidRPr="008B746D">
        <w:rPr>
          <w:rFonts w:ascii="Arial" w:eastAsia="Calibri" w:hAnsi="Arial" w:cs="Arial"/>
        </w:rPr>
        <w:t xml:space="preserve">he </w:t>
      </w:r>
      <w:r w:rsidR="00C571EC" w:rsidRPr="007D5D2F">
        <w:rPr>
          <w:rFonts w:ascii="Arial" w:eastAsia="Calibri" w:hAnsi="Arial" w:cs="Arial"/>
        </w:rPr>
        <w:t xml:space="preserve">Central Receiving System </w:t>
      </w:r>
      <w:r w:rsidR="00DA6CD9" w:rsidRPr="008B746D">
        <w:rPr>
          <w:rFonts w:ascii="Arial" w:eastAsia="Calibri" w:hAnsi="Arial" w:cs="Arial"/>
        </w:rPr>
        <w:t>will consider</w:t>
      </w:r>
      <w:r w:rsidRPr="008B746D">
        <w:rPr>
          <w:rFonts w:ascii="Arial" w:eastAsia="Calibri" w:hAnsi="Arial" w:cs="Arial"/>
        </w:rPr>
        <w:t xml:space="preserve"> </w:t>
      </w:r>
      <w:r w:rsidRPr="001921E7">
        <w:rPr>
          <w:rFonts w:ascii="Arial" w:eastAsia="Calibri" w:hAnsi="Arial" w:cs="Arial"/>
        </w:rPr>
        <w:t xml:space="preserve">the needs of those who speak a language other than English.  Strategies to address these findings are outlined in a later section of this plan.  </w:t>
      </w:r>
    </w:p>
    <w:p w14:paraId="42F3C51B" w14:textId="77777777" w:rsidR="0061601A" w:rsidRPr="005328FF" w:rsidRDefault="0061601A" w:rsidP="001921E7">
      <w:pPr>
        <w:spacing w:after="0" w:line="240" w:lineRule="auto"/>
        <w:jc w:val="both"/>
        <w:rPr>
          <w:rFonts w:ascii="Arial" w:eastAsia="Calibri" w:hAnsi="Arial" w:cs="Arial"/>
        </w:rPr>
      </w:pPr>
    </w:p>
    <w:p w14:paraId="2F2272DF" w14:textId="77777777" w:rsidR="003149B7" w:rsidRPr="001921E7" w:rsidRDefault="003149B7" w:rsidP="001921E7">
      <w:pPr>
        <w:spacing w:after="0" w:line="240" w:lineRule="auto"/>
        <w:jc w:val="both"/>
        <w:rPr>
          <w:rFonts w:ascii="Arial" w:eastAsia="Calibri" w:hAnsi="Arial" w:cs="Arial"/>
        </w:rPr>
      </w:pPr>
    </w:p>
    <w:tbl>
      <w:tblPr>
        <w:tblW w:w="0" w:type="auto"/>
        <w:jc w:val="center"/>
        <w:tblLayout w:type="fixed"/>
        <w:tblLook w:val="04A0" w:firstRow="1" w:lastRow="0" w:firstColumn="1" w:lastColumn="0" w:noHBand="0" w:noVBand="1"/>
      </w:tblPr>
      <w:tblGrid>
        <w:gridCol w:w="2793"/>
        <w:gridCol w:w="1794"/>
        <w:gridCol w:w="1679"/>
        <w:gridCol w:w="2189"/>
      </w:tblGrid>
      <w:tr w:rsidR="003149B7" w:rsidRPr="005328FF" w14:paraId="55278B70" w14:textId="77777777" w:rsidTr="00464C75">
        <w:trPr>
          <w:trHeight w:val="195"/>
          <w:jc w:val="center"/>
        </w:trPr>
        <w:tc>
          <w:tcPr>
            <w:tcW w:w="8455" w:type="dxa"/>
            <w:gridSpan w:val="4"/>
            <w:tcBorders>
              <w:top w:val="single" w:sz="4" w:space="0" w:color="auto"/>
              <w:left w:val="single" w:sz="4" w:space="0" w:color="auto"/>
              <w:right w:val="single" w:sz="4" w:space="0" w:color="auto"/>
            </w:tcBorders>
            <w:shd w:val="clear" w:color="auto" w:fill="auto"/>
            <w:noWrap/>
            <w:vAlign w:val="bottom"/>
            <w:hideMark/>
          </w:tcPr>
          <w:p w14:paraId="579DA09D" w14:textId="77777777" w:rsidR="003149B7" w:rsidRPr="001921E7" w:rsidRDefault="003149B7" w:rsidP="001921E7">
            <w:pPr>
              <w:spacing w:after="0" w:line="240" w:lineRule="auto"/>
              <w:jc w:val="both"/>
              <w:rPr>
                <w:rFonts w:ascii="Arial" w:eastAsia="Times New Roman" w:hAnsi="Arial" w:cs="Arial"/>
                <w:color w:val="000000"/>
              </w:rPr>
            </w:pPr>
            <w:r w:rsidRPr="001921E7">
              <w:rPr>
                <w:rFonts w:ascii="Arial" w:eastAsia="Times New Roman" w:hAnsi="Arial" w:cs="Arial"/>
                <w:color w:val="000000"/>
              </w:rPr>
              <w:t xml:space="preserve">Language Other Than English Spoken at Home, Number of Persons </w:t>
            </w:r>
            <w:proofErr w:type="gramStart"/>
            <w:r w:rsidRPr="001921E7">
              <w:rPr>
                <w:rFonts w:ascii="Arial" w:eastAsia="Times New Roman" w:hAnsi="Arial" w:cs="Arial"/>
                <w:color w:val="000000"/>
              </w:rPr>
              <w:t>Age</w:t>
            </w:r>
            <w:proofErr w:type="gramEnd"/>
            <w:r w:rsidRPr="001921E7">
              <w:rPr>
                <w:rFonts w:ascii="Arial" w:eastAsia="Times New Roman" w:hAnsi="Arial" w:cs="Arial"/>
                <w:color w:val="000000"/>
              </w:rPr>
              <w:t xml:space="preserve"> 5 and Above</w:t>
            </w:r>
          </w:p>
        </w:tc>
      </w:tr>
      <w:tr w:rsidR="003149B7" w:rsidRPr="005328FF" w14:paraId="1FE66F56" w14:textId="77777777" w:rsidTr="00464C75">
        <w:trPr>
          <w:trHeight w:val="195"/>
          <w:jc w:val="center"/>
        </w:trPr>
        <w:tc>
          <w:tcPr>
            <w:tcW w:w="8455" w:type="dxa"/>
            <w:gridSpan w:val="4"/>
            <w:tcBorders>
              <w:left w:val="single" w:sz="4" w:space="0" w:color="auto"/>
              <w:bottom w:val="single" w:sz="4" w:space="0" w:color="auto"/>
              <w:right w:val="single" w:sz="4" w:space="0" w:color="auto"/>
            </w:tcBorders>
            <w:shd w:val="clear" w:color="auto" w:fill="auto"/>
            <w:noWrap/>
            <w:vAlign w:val="bottom"/>
            <w:hideMark/>
          </w:tcPr>
          <w:p w14:paraId="691D30CF" w14:textId="77777777" w:rsidR="003149B7" w:rsidRPr="001921E7" w:rsidRDefault="003149B7" w:rsidP="001921E7">
            <w:pPr>
              <w:spacing w:after="0" w:line="240" w:lineRule="auto"/>
              <w:jc w:val="both"/>
              <w:rPr>
                <w:rFonts w:ascii="Arial" w:eastAsia="Times New Roman" w:hAnsi="Arial" w:cs="Arial"/>
                <w:color w:val="000000"/>
              </w:rPr>
            </w:pPr>
            <w:r w:rsidRPr="001921E7">
              <w:rPr>
                <w:rFonts w:ascii="Arial" w:eastAsia="Times New Roman" w:hAnsi="Arial" w:cs="Arial"/>
                <w:color w:val="000000"/>
              </w:rPr>
              <w:t>N = 247,336 (2010); N= 269,043 (2019)</w:t>
            </w:r>
          </w:p>
        </w:tc>
      </w:tr>
      <w:tr w:rsidR="003149B7" w:rsidRPr="005328FF" w14:paraId="2E951DF1" w14:textId="77777777" w:rsidTr="00464C75">
        <w:trPr>
          <w:trHeight w:val="288"/>
          <w:jc w:val="center"/>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9EC90" w14:textId="77777777" w:rsidR="003149B7" w:rsidRPr="001921E7" w:rsidRDefault="003149B7" w:rsidP="001921E7">
            <w:pPr>
              <w:spacing w:after="0" w:line="240" w:lineRule="auto"/>
              <w:jc w:val="both"/>
              <w:rPr>
                <w:rFonts w:ascii="Arial" w:eastAsia="Times New Roman" w:hAnsi="Arial" w:cs="Arial"/>
                <w:b/>
                <w:bCs/>
                <w:color w:val="000000"/>
              </w:rPr>
            </w:pPr>
            <w:r w:rsidRPr="001921E7">
              <w:rPr>
                <w:rFonts w:ascii="Arial" w:eastAsia="Times New Roman" w:hAnsi="Arial" w:cs="Arial"/>
                <w:b/>
                <w:bCs/>
                <w:color w:val="000000"/>
              </w:rPr>
              <w:t>Language Spoken</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5449A" w14:textId="77777777" w:rsidR="003149B7" w:rsidRPr="001921E7" w:rsidRDefault="003149B7" w:rsidP="00464C75">
            <w:pPr>
              <w:spacing w:after="0" w:line="240" w:lineRule="auto"/>
              <w:jc w:val="right"/>
              <w:rPr>
                <w:rFonts w:ascii="Arial" w:eastAsia="Times New Roman" w:hAnsi="Arial" w:cs="Arial"/>
                <w:b/>
                <w:bCs/>
                <w:color w:val="000000"/>
              </w:rPr>
            </w:pPr>
            <w:r w:rsidRPr="001921E7">
              <w:rPr>
                <w:rFonts w:ascii="Arial" w:eastAsia="Times New Roman" w:hAnsi="Arial" w:cs="Arial"/>
                <w:b/>
                <w:bCs/>
                <w:color w:val="000000"/>
              </w:rPr>
              <w:t>2006-2010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59E31" w14:textId="77777777" w:rsidR="003149B7" w:rsidRPr="001921E7" w:rsidRDefault="003149B7" w:rsidP="00464C75">
            <w:pPr>
              <w:spacing w:after="0" w:line="240" w:lineRule="auto"/>
              <w:jc w:val="right"/>
              <w:rPr>
                <w:rFonts w:ascii="Arial" w:eastAsia="Times New Roman" w:hAnsi="Arial" w:cs="Arial"/>
                <w:b/>
                <w:bCs/>
                <w:color w:val="000000"/>
              </w:rPr>
            </w:pPr>
            <w:r w:rsidRPr="001921E7">
              <w:rPr>
                <w:rFonts w:ascii="Arial" w:eastAsia="Times New Roman" w:hAnsi="Arial" w:cs="Arial"/>
                <w:b/>
                <w:bCs/>
                <w:color w:val="000000"/>
              </w:rPr>
              <w:t>2015-2019</w:t>
            </w:r>
          </w:p>
        </w:tc>
        <w:tc>
          <w:tcPr>
            <w:tcW w:w="2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273E6" w14:textId="77777777" w:rsidR="003149B7" w:rsidRPr="001921E7" w:rsidRDefault="003149B7" w:rsidP="00464C75">
            <w:pPr>
              <w:spacing w:after="0" w:line="240" w:lineRule="auto"/>
              <w:jc w:val="right"/>
              <w:rPr>
                <w:rFonts w:ascii="Arial" w:eastAsia="Times New Roman" w:hAnsi="Arial" w:cs="Arial"/>
                <w:b/>
                <w:bCs/>
                <w:color w:val="000000"/>
              </w:rPr>
            </w:pPr>
            <w:r w:rsidRPr="001921E7">
              <w:rPr>
                <w:rFonts w:ascii="Arial" w:eastAsia="Times New Roman" w:hAnsi="Arial" w:cs="Arial"/>
                <w:b/>
                <w:bCs/>
                <w:color w:val="000000"/>
              </w:rPr>
              <w:t>% Change</w:t>
            </w:r>
          </w:p>
        </w:tc>
      </w:tr>
      <w:tr w:rsidR="003149B7" w:rsidRPr="005328FF" w14:paraId="22830D96" w14:textId="77777777" w:rsidTr="00464C75">
        <w:trPr>
          <w:trHeight w:val="288"/>
          <w:jc w:val="center"/>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62CB" w14:textId="77777777" w:rsidR="003149B7" w:rsidRPr="001921E7" w:rsidRDefault="003149B7" w:rsidP="001921E7">
            <w:pPr>
              <w:spacing w:after="0" w:line="240" w:lineRule="auto"/>
              <w:jc w:val="both"/>
              <w:rPr>
                <w:rFonts w:ascii="Arial" w:eastAsia="Times New Roman" w:hAnsi="Arial" w:cs="Arial"/>
                <w:color w:val="000000"/>
              </w:rPr>
            </w:pPr>
            <w:r w:rsidRPr="001921E7">
              <w:rPr>
                <w:rFonts w:ascii="Arial" w:eastAsia="Times New Roman" w:hAnsi="Arial" w:cs="Arial"/>
                <w:color w:val="000000"/>
              </w:rPr>
              <w:t>Asian/Pacific Islander</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CE116" w14:textId="77777777" w:rsidR="003149B7" w:rsidRPr="001921E7" w:rsidRDefault="003149B7" w:rsidP="00464C75">
            <w:pPr>
              <w:spacing w:after="0" w:line="240" w:lineRule="auto"/>
              <w:jc w:val="right"/>
              <w:rPr>
                <w:rFonts w:ascii="Arial" w:eastAsia="Times New Roman" w:hAnsi="Arial" w:cs="Arial"/>
                <w:color w:val="000000"/>
              </w:rPr>
            </w:pPr>
            <w:r w:rsidRPr="001921E7">
              <w:rPr>
                <w:rFonts w:ascii="Arial" w:eastAsia="Times New Roman" w:hAnsi="Arial" w:cs="Arial"/>
                <w:color w:val="000000"/>
              </w:rPr>
              <w:t xml:space="preserve">             7,379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CC95" w14:textId="77777777" w:rsidR="003149B7" w:rsidRPr="001921E7" w:rsidRDefault="003149B7" w:rsidP="00464C75">
            <w:pPr>
              <w:spacing w:after="0" w:line="240" w:lineRule="auto"/>
              <w:jc w:val="right"/>
              <w:rPr>
                <w:rFonts w:ascii="Arial" w:eastAsia="Times New Roman" w:hAnsi="Arial" w:cs="Arial"/>
                <w:color w:val="000000"/>
              </w:rPr>
            </w:pPr>
            <w:r w:rsidRPr="001921E7">
              <w:rPr>
                <w:rFonts w:ascii="Arial" w:eastAsia="Times New Roman" w:hAnsi="Arial" w:cs="Arial"/>
                <w:color w:val="000000"/>
              </w:rPr>
              <w:t xml:space="preserve">           9,374 </w:t>
            </w:r>
          </w:p>
        </w:tc>
        <w:tc>
          <w:tcPr>
            <w:tcW w:w="2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C1D76" w14:textId="77777777" w:rsidR="003149B7" w:rsidRPr="001921E7" w:rsidRDefault="003149B7" w:rsidP="00464C75">
            <w:pPr>
              <w:spacing w:after="0" w:line="240" w:lineRule="auto"/>
              <w:jc w:val="right"/>
              <w:rPr>
                <w:rFonts w:ascii="Arial" w:eastAsia="Times New Roman" w:hAnsi="Arial" w:cs="Arial"/>
                <w:color w:val="000000"/>
              </w:rPr>
            </w:pPr>
            <w:r w:rsidRPr="001921E7">
              <w:rPr>
                <w:rFonts w:ascii="Arial" w:eastAsia="Times New Roman" w:hAnsi="Arial" w:cs="Arial"/>
                <w:color w:val="000000"/>
              </w:rPr>
              <w:t>27.0%</w:t>
            </w:r>
          </w:p>
        </w:tc>
      </w:tr>
      <w:tr w:rsidR="003149B7" w:rsidRPr="005328FF" w14:paraId="01C1E5B9" w14:textId="77777777" w:rsidTr="00464C75">
        <w:trPr>
          <w:trHeight w:val="288"/>
          <w:jc w:val="center"/>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D058B" w14:textId="77777777" w:rsidR="003149B7" w:rsidRPr="001921E7" w:rsidRDefault="003149B7" w:rsidP="001921E7">
            <w:pPr>
              <w:spacing w:after="0" w:line="240" w:lineRule="auto"/>
              <w:jc w:val="both"/>
              <w:rPr>
                <w:rFonts w:ascii="Arial" w:eastAsia="Times New Roman" w:hAnsi="Arial" w:cs="Arial"/>
                <w:color w:val="000000"/>
              </w:rPr>
            </w:pPr>
            <w:r w:rsidRPr="001921E7">
              <w:rPr>
                <w:rFonts w:ascii="Arial" w:eastAsia="Times New Roman" w:hAnsi="Arial" w:cs="Arial"/>
                <w:color w:val="000000"/>
              </w:rPr>
              <w:t>Indo-European</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A5500" w14:textId="77777777" w:rsidR="003149B7" w:rsidRPr="001921E7" w:rsidRDefault="003149B7" w:rsidP="00464C75">
            <w:pPr>
              <w:spacing w:after="0" w:line="240" w:lineRule="auto"/>
              <w:jc w:val="right"/>
              <w:rPr>
                <w:rFonts w:ascii="Arial" w:eastAsia="Times New Roman" w:hAnsi="Arial" w:cs="Arial"/>
                <w:color w:val="000000"/>
              </w:rPr>
            </w:pPr>
            <w:r w:rsidRPr="001921E7">
              <w:rPr>
                <w:rFonts w:ascii="Arial" w:eastAsia="Times New Roman" w:hAnsi="Arial" w:cs="Arial"/>
                <w:color w:val="000000"/>
              </w:rPr>
              <w:t xml:space="preserve">             7,997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BC0FC" w14:textId="77777777" w:rsidR="003149B7" w:rsidRPr="001921E7" w:rsidRDefault="003149B7" w:rsidP="00464C75">
            <w:pPr>
              <w:spacing w:after="0" w:line="240" w:lineRule="auto"/>
              <w:jc w:val="right"/>
              <w:rPr>
                <w:rFonts w:ascii="Arial" w:eastAsia="Times New Roman" w:hAnsi="Arial" w:cs="Arial"/>
                <w:color w:val="000000"/>
              </w:rPr>
            </w:pPr>
            <w:r w:rsidRPr="001921E7">
              <w:rPr>
                <w:rFonts w:ascii="Arial" w:eastAsia="Times New Roman" w:hAnsi="Arial" w:cs="Arial"/>
                <w:color w:val="000000"/>
              </w:rPr>
              <w:t xml:space="preserve">           8,812 </w:t>
            </w:r>
          </w:p>
        </w:tc>
        <w:tc>
          <w:tcPr>
            <w:tcW w:w="2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7512D" w14:textId="77777777" w:rsidR="003149B7" w:rsidRPr="001921E7" w:rsidRDefault="003149B7" w:rsidP="00464C75">
            <w:pPr>
              <w:spacing w:after="0" w:line="240" w:lineRule="auto"/>
              <w:jc w:val="right"/>
              <w:rPr>
                <w:rFonts w:ascii="Arial" w:eastAsia="Times New Roman" w:hAnsi="Arial" w:cs="Arial"/>
                <w:color w:val="000000"/>
              </w:rPr>
            </w:pPr>
            <w:r w:rsidRPr="001921E7">
              <w:rPr>
                <w:rFonts w:ascii="Arial" w:eastAsia="Times New Roman" w:hAnsi="Arial" w:cs="Arial"/>
                <w:color w:val="000000"/>
              </w:rPr>
              <w:t>10.2%</w:t>
            </w:r>
          </w:p>
        </w:tc>
      </w:tr>
      <w:tr w:rsidR="003149B7" w:rsidRPr="005328FF" w14:paraId="194B58FC" w14:textId="77777777" w:rsidTr="00464C75">
        <w:trPr>
          <w:trHeight w:val="288"/>
          <w:jc w:val="center"/>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68A6E" w14:textId="77777777" w:rsidR="003149B7" w:rsidRPr="001921E7" w:rsidRDefault="003149B7" w:rsidP="001921E7">
            <w:pPr>
              <w:spacing w:after="0" w:line="240" w:lineRule="auto"/>
              <w:jc w:val="both"/>
              <w:rPr>
                <w:rFonts w:ascii="Arial" w:eastAsia="Times New Roman" w:hAnsi="Arial" w:cs="Arial"/>
                <w:color w:val="000000"/>
              </w:rPr>
            </w:pPr>
            <w:r w:rsidRPr="001921E7">
              <w:rPr>
                <w:rFonts w:ascii="Arial" w:eastAsia="Times New Roman" w:hAnsi="Arial" w:cs="Arial"/>
                <w:color w:val="000000"/>
              </w:rPr>
              <w:t>Other Language</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9557C" w14:textId="77777777" w:rsidR="003149B7" w:rsidRPr="001921E7" w:rsidRDefault="003149B7" w:rsidP="00464C75">
            <w:pPr>
              <w:spacing w:after="0" w:line="240" w:lineRule="auto"/>
              <w:jc w:val="right"/>
              <w:rPr>
                <w:rFonts w:ascii="Arial" w:eastAsia="Times New Roman" w:hAnsi="Arial" w:cs="Arial"/>
                <w:color w:val="000000"/>
              </w:rPr>
            </w:pPr>
            <w:r w:rsidRPr="001921E7">
              <w:rPr>
                <w:rFonts w:ascii="Arial" w:eastAsia="Times New Roman" w:hAnsi="Arial" w:cs="Arial"/>
                <w:color w:val="000000"/>
              </w:rPr>
              <w:t xml:space="preserve">             1,265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1575F" w14:textId="77777777" w:rsidR="003149B7" w:rsidRPr="001921E7" w:rsidRDefault="003149B7" w:rsidP="00464C75">
            <w:pPr>
              <w:spacing w:after="0" w:line="240" w:lineRule="auto"/>
              <w:jc w:val="right"/>
              <w:rPr>
                <w:rFonts w:ascii="Arial" w:eastAsia="Times New Roman" w:hAnsi="Arial" w:cs="Arial"/>
                <w:color w:val="000000"/>
              </w:rPr>
            </w:pPr>
            <w:r w:rsidRPr="001921E7">
              <w:rPr>
                <w:rFonts w:ascii="Arial" w:eastAsia="Times New Roman" w:hAnsi="Arial" w:cs="Arial"/>
                <w:color w:val="000000"/>
              </w:rPr>
              <w:t xml:space="preserve">           1,215 </w:t>
            </w:r>
          </w:p>
        </w:tc>
        <w:tc>
          <w:tcPr>
            <w:tcW w:w="2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1A032" w14:textId="77777777" w:rsidR="003149B7" w:rsidRPr="001921E7" w:rsidRDefault="003149B7" w:rsidP="00464C75">
            <w:pPr>
              <w:spacing w:after="0" w:line="240" w:lineRule="auto"/>
              <w:jc w:val="right"/>
              <w:rPr>
                <w:rFonts w:ascii="Arial" w:eastAsia="Times New Roman" w:hAnsi="Arial" w:cs="Arial"/>
                <w:color w:val="000000"/>
              </w:rPr>
            </w:pPr>
            <w:r w:rsidRPr="001921E7">
              <w:rPr>
                <w:rFonts w:ascii="Arial" w:eastAsia="Times New Roman" w:hAnsi="Arial" w:cs="Arial"/>
                <w:color w:val="000000"/>
              </w:rPr>
              <w:t>-4.0%</w:t>
            </w:r>
          </w:p>
        </w:tc>
      </w:tr>
      <w:tr w:rsidR="003149B7" w:rsidRPr="005328FF" w14:paraId="50544CC6" w14:textId="77777777" w:rsidTr="00464C75">
        <w:trPr>
          <w:trHeight w:val="288"/>
          <w:jc w:val="center"/>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18593" w14:textId="77777777" w:rsidR="003149B7" w:rsidRPr="001921E7" w:rsidRDefault="003149B7" w:rsidP="001921E7">
            <w:pPr>
              <w:spacing w:after="0" w:line="240" w:lineRule="auto"/>
              <w:jc w:val="both"/>
              <w:rPr>
                <w:rFonts w:ascii="Arial" w:eastAsia="Times New Roman" w:hAnsi="Arial" w:cs="Arial"/>
                <w:color w:val="000000"/>
              </w:rPr>
            </w:pPr>
            <w:r w:rsidRPr="001921E7">
              <w:rPr>
                <w:rFonts w:ascii="Arial" w:eastAsia="Times New Roman" w:hAnsi="Arial" w:cs="Arial"/>
                <w:color w:val="000000"/>
              </w:rPr>
              <w:t>Spanish</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E4F6E" w14:textId="77777777" w:rsidR="003149B7" w:rsidRPr="001921E7" w:rsidRDefault="003149B7" w:rsidP="00464C75">
            <w:pPr>
              <w:spacing w:after="0" w:line="240" w:lineRule="auto"/>
              <w:jc w:val="right"/>
              <w:rPr>
                <w:rFonts w:ascii="Arial" w:eastAsia="Times New Roman" w:hAnsi="Arial" w:cs="Arial"/>
                <w:color w:val="000000"/>
              </w:rPr>
            </w:pPr>
            <w:r w:rsidRPr="001921E7">
              <w:rPr>
                <w:rFonts w:ascii="Arial" w:eastAsia="Times New Roman" w:hAnsi="Arial" w:cs="Arial"/>
                <w:color w:val="000000"/>
              </w:rPr>
              <w:t xml:space="preserve">          14,776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9E3EF" w14:textId="77777777" w:rsidR="003149B7" w:rsidRPr="001921E7" w:rsidRDefault="003149B7" w:rsidP="00464C75">
            <w:pPr>
              <w:spacing w:after="0" w:line="240" w:lineRule="auto"/>
              <w:jc w:val="right"/>
              <w:rPr>
                <w:rFonts w:ascii="Arial" w:eastAsia="Times New Roman" w:hAnsi="Arial" w:cs="Arial"/>
                <w:color w:val="000000"/>
              </w:rPr>
            </w:pPr>
            <w:r w:rsidRPr="001921E7">
              <w:rPr>
                <w:rFonts w:ascii="Arial" w:eastAsia="Times New Roman" w:hAnsi="Arial" w:cs="Arial"/>
                <w:color w:val="000000"/>
              </w:rPr>
              <w:t xml:space="preserve">         16,230 </w:t>
            </w:r>
          </w:p>
        </w:tc>
        <w:tc>
          <w:tcPr>
            <w:tcW w:w="2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A31C6" w14:textId="77777777" w:rsidR="003149B7" w:rsidRPr="001921E7" w:rsidRDefault="003149B7" w:rsidP="00464C75">
            <w:pPr>
              <w:spacing w:after="0" w:line="240" w:lineRule="auto"/>
              <w:jc w:val="right"/>
              <w:rPr>
                <w:rFonts w:ascii="Arial" w:eastAsia="Times New Roman" w:hAnsi="Arial" w:cs="Arial"/>
                <w:color w:val="000000"/>
              </w:rPr>
            </w:pPr>
            <w:r w:rsidRPr="001921E7">
              <w:rPr>
                <w:rFonts w:ascii="Arial" w:eastAsia="Times New Roman" w:hAnsi="Arial" w:cs="Arial"/>
                <w:color w:val="000000"/>
              </w:rPr>
              <w:t>9.8%</w:t>
            </w:r>
          </w:p>
        </w:tc>
      </w:tr>
    </w:tbl>
    <w:p w14:paraId="4D122B95" w14:textId="77777777" w:rsidR="003149B7" w:rsidRPr="001921E7" w:rsidRDefault="003149B7" w:rsidP="001921E7">
      <w:pPr>
        <w:spacing w:after="0" w:line="240" w:lineRule="auto"/>
        <w:jc w:val="both"/>
        <w:rPr>
          <w:rFonts w:ascii="Arial" w:eastAsia="Calibri" w:hAnsi="Arial" w:cs="Arial"/>
        </w:rPr>
      </w:pPr>
    </w:p>
    <w:p w14:paraId="4D1EE34C" w14:textId="35CE8A2D" w:rsidR="003149B7" w:rsidRDefault="003149B7" w:rsidP="001921E7">
      <w:pPr>
        <w:spacing w:after="0" w:line="240" w:lineRule="auto"/>
        <w:jc w:val="both"/>
        <w:rPr>
          <w:rFonts w:ascii="Arial" w:eastAsia="Calibri" w:hAnsi="Arial" w:cs="Arial"/>
        </w:rPr>
      </w:pPr>
      <w:r w:rsidRPr="008B746D">
        <w:rPr>
          <w:rFonts w:ascii="Arial" w:eastAsia="Calibri" w:hAnsi="Arial" w:cs="Arial"/>
        </w:rPr>
        <w:t xml:space="preserve">The </w:t>
      </w:r>
      <w:r w:rsidRPr="007D5D2F">
        <w:rPr>
          <w:rFonts w:ascii="Arial" w:eastAsia="Calibri" w:hAnsi="Arial" w:cs="Arial"/>
        </w:rPr>
        <w:t xml:space="preserve">Alachua County </w:t>
      </w:r>
      <w:r w:rsidR="00C571EC" w:rsidRPr="007D5D2F">
        <w:rPr>
          <w:rFonts w:ascii="Arial" w:eastAsia="Calibri" w:hAnsi="Arial" w:cs="Arial"/>
        </w:rPr>
        <w:t xml:space="preserve">Central Receiving System </w:t>
      </w:r>
      <w:r w:rsidR="00C571EC" w:rsidRPr="008B746D">
        <w:rPr>
          <w:rFonts w:ascii="Arial" w:eastAsia="Calibri" w:hAnsi="Arial" w:cs="Arial"/>
        </w:rPr>
        <w:t>will be</w:t>
      </w:r>
      <w:r w:rsidRPr="008B746D">
        <w:rPr>
          <w:rFonts w:ascii="Arial" w:eastAsia="Calibri" w:hAnsi="Arial" w:cs="Arial"/>
        </w:rPr>
        <w:t xml:space="preserve"> </w:t>
      </w:r>
      <w:r w:rsidRPr="001921E7">
        <w:rPr>
          <w:rFonts w:ascii="Arial" w:eastAsia="Calibri" w:hAnsi="Arial" w:cs="Arial"/>
        </w:rPr>
        <w:t xml:space="preserve">committed to enhancing awareness and understanding of multiculturalism internally and within our community.  As a community of helpers, we are dedicated to growth, unlearning and relearning, and moving towards mutuality in relationships.  </w:t>
      </w:r>
    </w:p>
    <w:p w14:paraId="4F97B16B" w14:textId="65B4E76A" w:rsidR="004414DE" w:rsidRDefault="004414DE" w:rsidP="001921E7">
      <w:pPr>
        <w:spacing w:after="0" w:line="240" w:lineRule="auto"/>
        <w:jc w:val="both"/>
        <w:rPr>
          <w:rFonts w:ascii="Arial" w:eastAsia="Calibri" w:hAnsi="Arial" w:cs="Arial"/>
        </w:rPr>
      </w:pPr>
    </w:p>
    <w:p w14:paraId="681EBCA0" w14:textId="181F41A4" w:rsidR="004414DE" w:rsidRDefault="004414DE" w:rsidP="001921E7">
      <w:pPr>
        <w:spacing w:after="0" w:line="240" w:lineRule="auto"/>
        <w:jc w:val="both"/>
        <w:rPr>
          <w:rFonts w:ascii="Arial" w:eastAsia="Calibri" w:hAnsi="Arial" w:cs="Arial"/>
          <w:b/>
          <w:bCs/>
          <w:u w:val="single"/>
        </w:rPr>
      </w:pPr>
      <w:r w:rsidRPr="00464C75">
        <w:rPr>
          <w:rFonts w:ascii="Arial" w:eastAsia="Calibri" w:hAnsi="Arial" w:cs="Arial"/>
          <w:b/>
          <w:bCs/>
          <w:u w:val="single"/>
        </w:rPr>
        <w:t xml:space="preserve">Goals </w:t>
      </w:r>
    </w:p>
    <w:p w14:paraId="67587A9A" w14:textId="77777777" w:rsidR="00384708" w:rsidRPr="00464C75" w:rsidRDefault="00384708" w:rsidP="001921E7">
      <w:pPr>
        <w:spacing w:after="0" w:line="240" w:lineRule="auto"/>
        <w:jc w:val="both"/>
        <w:rPr>
          <w:rFonts w:ascii="Arial" w:eastAsia="Calibri" w:hAnsi="Arial" w:cs="Arial"/>
          <w:b/>
          <w:bCs/>
          <w:u w:val="single"/>
        </w:rPr>
      </w:pPr>
    </w:p>
    <w:p w14:paraId="0A8CF7F5" w14:textId="42C15F3A" w:rsidR="004414DE" w:rsidRDefault="004414DE" w:rsidP="004414DE">
      <w:pPr>
        <w:pStyle w:val="ListParagraph"/>
        <w:numPr>
          <w:ilvl w:val="0"/>
          <w:numId w:val="46"/>
        </w:numPr>
        <w:spacing w:after="0" w:line="240" w:lineRule="auto"/>
        <w:jc w:val="both"/>
        <w:rPr>
          <w:rFonts w:ascii="Arial" w:eastAsia="Calibri" w:hAnsi="Arial" w:cs="Arial"/>
        </w:rPr>
      </w:pPr>
      <w:r>
        <w:rPr>
          <w:rFonts w:ascii="Arial" w:eastAsia="Calibri" w:hAnsi="Arial" w:cs="Arial"/>
        </w:rPr>
        <w:t xml:space="preserve">Prepare for and address the population trends, particularly for individuals where another language other than English is spoken at home.  </w:t>
      </w:r>
    </w:p>
    <w:p w14:paraId="09C81337" w14:textId="495C672C" w:rsidR="004414DE" w:rsidRDefault="004414DE" w:rsidP="00480CDE">
      <w:pPr>
        <w:pStyle w:val="ListParagraph"/>
        <w:numPr>
          <w:ilvl w:val="0"/>
          <w:numId w:val="46"/>
        </w:numPr>
        <w:spacing w:before="120" w:after="0" w:line="240" w:lineRule="auto"/>
        <w:contextualSpacing w:val="0"/>
        <w:jc w:val="both"/>
        <w:rPr>
          <w:rFonts w:ascii="Arial" w:eastAsia="Calibri" w:hAnsi="Arial" w:cs="Arial"/>
        </w:rPr>
      </w:pPr>
      <w:r>
        <w:rPr>
          <w:rFonts w:ascii="Arial" w:eastAsia="Calibri" w:hAnsi="Arial" w:cs="Arial"/>
        </w:rPr>
        <w:lastRenderedPageBreak/>
        <w:t>Address the disparities identified in the C</w:t>
      </w:r>
      <w:r w:rsidR="00BC4DC0">
        <w:rPr>
          <w:rFonts w:ascii="Arial" w:eastAsia="Calibri" w:hAnsi="Arial" w:cs="Arial"/>
        </w:rPr>
        <w:t xml:space="preserve">ommunity </w:t>
      </w:r>
      <w:r>
        <w:rPr>
          <w:rFonts w:ascii="Arial" w:eastAsia="Calibri" w:hAnsi="Arial" w:cs="Arial"/>
        </w:rPr>
        <w:t>H</w:t>
      </w:r>
      <w:r w:rsidR="00BC4DC0">
        <w:rPr>
          <w:rFonts w:ascii="Arial" w:eastAsia="Calibri" w:hAnsi="Arial" w:cs="Arial"/>
        </w:rPr>
        <w:t xml:space="preserve">ealth </w:t>
      </w:r>
      <w:r>
        <w:rPr>
          <w:rFonts w:ascii="Arial" w:eastAsia="Calibri" w:hAnsi="Arial" w:cs="Arial"/>
        </w:rPr>
        <w:t>I</w:t>
      </w:r>
      <w:r w:rsidR="00BC4DC0">
        <w:rPr>
          <w:rFonts w:ascii="Arial" w:eastAsia="Calibri" w:hAnsi="Arial" w:cs="Arial"/>
        </w:rPr>
        <w:t xml:space="preserve">mprovement </w:t>
      </w:r>
      <w:r>
        <w:rPr>
          <w:rFonts w:ascii="Arial" w:eastAsia="Calibri" w:hAnsi="Arial" w:cs="Arial"/>
        </w:rPr>
        <w:t>P</w:t>
      </w:r>
      <w:r w:rsidR="00BC4DC0">
        <w:rPr>
          <w:rFonts w:ascii="Arial" w:eastAsia="Calibri" w:hAnsi="Arial" w:cs="Arial"/>
        </w:rPr>
        <w:t>lan</w:t>
      </w:r>
      <w:r>
        <w:rPr>
          <w:rFonts w:ascii="Arial" w:eastAsia="Calibri" w:hAnsi="Arial" w:cs="Arial"/>
        </w:rPr>
        <w:t xml:space="preserve">, </w:t>
      </w:r>
      <w:r w:rsidRPr="006B56E8">
        <w:rPr>
          <w:rFonts w:ascii="Arial" w:hAnsi="Arial" w:cs="Arial"/>
        </w:rPr>
        <w:t>Access to Health Care and Community Wellness, including Mental Health Access</w:t>
      </w:r>
    </w:p>
    <w:p w14:paraId="1F8A1758" w14:textId="68EA925B" w:rsidR="004414DE" w:rsidRDefault="004414DE" w:rsidP="00480CDE">
      <w:pPr>
        <w:pStyle w:val="ListParagraph"/>
        <w:numPr>
          <w:ilvl w:val="0"/>
          <w:numId w:val="46"/>
        </w:numPr>
        <w:spacing w:before="120" w:after="0" w:line="240" w:lineRule="auto"/>
        <w:contextualSpacing w:val="0"/>
        <w:jc w:val="both"/>
        <w:rPr>
          <w:rFonts w:ascii="Arial" w:eastAsia="Calibri" w:hAnsi="Arial" w:cs="Arial"/>
        </w:rPr>
      </w:pPr>
      <w:r>
        <w:rPr>
          <w:rFonts w:ascii="Arial" w:eastAsia="Calibri" w:hAnsi="Arial" w:cs="Arial"/>
        </w:rPr>
        <w:t>Training and awareness for all involved in the CRS including stakeholders, management and administrative, and all other personnel</w:t>
      </w:r>
    </w:p>
    <w:p w14:paraId="09FDA9BE" w14:textId="0225FD89" w:rsidR="004414DE" w:rsidRDefault="004414DE" w:rsidP="00480CDE">
      <w:pPr>
        <w:pStyle w:val="ListParagraph"/>
        <w:numPr>
          <w:ilvl w:val="0"/>
          <w:numId w:val="46"/>
        </w:numPr>
        <w:spacing w:before="120" w:after="0" w:line="240" w:lineRule="auto"/>
        <w:contextualSpacing w:val="0"/>
        <w:jc w:val="both"/>
        <w:rPr>
          <w:rFonts w:ascii="Arial" w:eastAsia="Calibri" w:hAnsi="Arial" w:cs="Arial"/>
        </w:rPr>
      </w:pPr>
      <w:r>
        <w:rPr>
          <w:rFonts w:ascii="Arial" w:eastAsia="Calibri" w:hAnsi="Arial" w:cs="Arial"/>
        </w:rPr>
        <w:t xml:space="preserve">Support the use of multi-cultural practices </w:t>
      </w:r>
      <w:r w:rsidR="00384708">
        <w:rPr>
          <w:rFonts w:ascii="Arial" w:eastAsia="Calibri" w:hAnsi="Arial" w:cs="Arial"/>
        </w:rPr>
        <w:t>at</w:t>
      </w:r>
      <w:r>
        <w:rPr>
          <w:rFonts w:ascii="Arial" w:eastAsia="Calibri" w:hAnsi="Arial" w:cs="Arial"/>
        </w:rPr>
        <w:t xml:space="preserve"> all level</w:t>
      </w:r>
      <w:r w:rsidR="00384708">
        <w:rPr>
          <w:rFonts w:ascii="Arial" w:eastAsia="Calibri" w:hAnsi="Arial" w:cs="Arial"/>
        </w:rPr>
        <w:t>s</w:t>
      </w:r>
      <w:r>
        <w:rPr>
          <w:rFonts w:ascii="Arial" w:eastAsia="Calibri" w:hAnsi="Arial" w:cs="Arial"/>
        </w:rPr>
        <w:t xml:space="preserve"> of service provided</w:t>
      </w:r>
    </w:p>
    <w:p w14:paraId="21D26241" w14:textId="77777777" w:rsidR="004414DE" w:rsidRPr="00464C75" w:rsidRDefault="004414DE" w:rsidP="00464C75">
      <w:pPr>
        <w:pStyle w:val="ListParagraph"/>
        <w:spacing w:after="0" w:line="240" w:lineRule="auto"/>
        <w:jc w:val="both"/>
        <w:rPr>
          <w:rFonts w:ascii="Arial" w:eastAsia="Calibri" w:hAnsi="Arial" w:cs="Arial"/>
        </w:rPr>
      </w:pPr>
    </w:p>
    <w:p w14:paraId="1110698E" w14:textId="067C12CA" w:rsidR="004414DE" w:rsidRPr="00464C75" w:rsidRDefault="004414DE" w:rsidP="001921E7">
      <w:pPr>
        <w:spacing w:after="0" w:line="240" w:lineRule="auto"/>
        <w:jc w:val="both"/>
        <w:rPr>
          <w:rFonts w:ascii="Arial" w:eastAsia="Calibri" w:hAnsi="Arial" w:cs="Arial"/>
          <w:b/>
          <w:bCs/>
          <w:u w:val="single"/>
        </w:rPr>
      </w:pPr>
      <w:r w:rsidRPr="00464C75">
        <w:rPr>
          <w:rFonts w:ascii="Arial" w:eastAsia="Calibri" w:hAnsi="Arial" w:cs="Arial"/>
          <w:b/>
          <w:bCs/>
          <w:u w:val="single"/>
        </w:rPr>
        <w:t>Awareness</w:t>
      </w:r>
    </w:p>
    <w:p w14:paraId="107BEB57" w14:textId="02EA9FAC" w:rsidR="004414DE" w:rsidRDefault="004414DE" w:rsidP="001921E7">
      <w:pPr>
        <w:spacing w:after="0" w:line="240" w:lineRule="auto"/>
        <w:jc w:val="both"/>
        <w:rPr>
          <w:rFonts w:ascii="Arial" w:eastAsia="Calibri" w:hAnsi="Arial" w:cs="Arial"/>
        </w:rPr>
      </w:pPr>
    </w:p>
    <w:p w14:paraId="7DFC2FB2" w14:textId="200AE8E3" w:rsidR="00851F36" w:rsidRDefault="00851F36" w:rsidP="001921E7">
      <w:pPr>
        <w:spacing w:after="0" w:line="240" w:lineRule="auto"/>
        <w:jc w:val="both"/>
        <w:rPr>
          <w:rFonts w:ascii="Arial" w:eastAsia="Calibri" w:hAnsi="Arial" w:cs="Arial"/>
        </w:rPr>
      </w:pPr>
      <w:r>
        <w:rPr>
          <w:rFonts w:ascii="Arial" w:eastAsia="Calibri" w:hAnsi="Arial" w:cs="Arial"/>
        </w:rPr>
        <w:t xml:space="preserve">At its very nature, the CRS is designed to accept anyone presenting at the facility.  </w:t>
      </w:r>
      <w:r w:rsidR="00384708">
        <w:rPr>
          <w:rFonts w:ascii="Arial" w:eastAsia="Calibri" w:hAnsi="Arial" w:cs="Arial"/>
        </w:rPr>
        <w:t xml:space="preserve">The CRS will undertake efforts to promote the availability of services in under-served areas of the community as an alternative to law enforcement when appropriate, </w:t>
      </w:r>
      <w:proofErr w:type="gramStart"/>
      <w:r w:rsidR="00384708">
        <w:rPr>
          <w:rFonts w:ascii="Arial" w:eastAsia="Calibri" w:hAnsi="Arial" w:cs="Arial"/>
        </w:rPr>
        <w:t>e.g.</w:t>
      </w:r>
      <w:proofErr w:type="gramEnd"/>
      <w:r w:rsidR="00384708">
        <w:rPr>
          <w:rFonts w:ascii="Arial" w:eastAsia="Calibri" w:hAnsi="Arial" w:cs="Arial"/>
        </w:rPr>
        <w:t xml:space="preserve"> self and family referrals.  This will help alleviate the mis-understanding that mental illness is a crime.  The availability of the CRS will be incorporated into aspects of the language initiative as well as promotion of 988</w:t>
      </w:r>
      <w:r w:rsidR="00BC4DC0">
        <w:rPr>
          <w:rFonts w:ascii="Arial" w:eastAsia="Calibri" w:hAnsi="Arial" w:cs="Arial"/>
        </w:rPr>
        <w:t xml:space="preserve"> the Mobile Response and Co-responder Teams</w:t>
      </w:r>
      <w:r w:rsidR="00384708">
        <w:rPr>
          <w:rFonts w:ascii="Arial" w:eastAsia="Calibri" w:hAnsi="Arial" w:cs="Arial"/>
        </w:rPr>
        <w:t>.</w:t>
      </w:r>
    </w:p>
    <w:p w14:paraId="2110B2F4" w14:textId="77777777" w:rsidR="00384708" w:rsidRDefault="00384708" w:rsidP="001921E7">
      <w:pPr>
        <w:spacing w:after="0" w:line="240" w:lineRule="auto"/>
        <w:jc w:val="both"/>
        <w:rPr>
          <w:rFonts w:ascii="Arial" w:eastAsia="Calibri" w:hAnsi="Arial" w:cs="Arial"/>
        </w:rPr>
      </w:pPr>
    </w:p>
    <w:p w14:paraId="3BDFE446" w14:textId="60E994B1" w:rsidR="004414DE" w:rsidRPr="00464C75" w:rsidRDefault="004414DE" w:rsidP="001921E7">
      <w:pPr>
        <w:spacing w:after="0" w:line="240" w:lineRule="auto"/>
        <w:jc w:val="both"/>
        <w:rPr>
          <w:rFonts w:ascii="Arial" w:eastAsia="Calibri" w:hAnsi="Arial" w:cs="Arial"/>
          <w:b/>
          <w:bCs/>
          <w:u w:val="single"/>
        </w:rPr>
      </w:pPr>
      <w:r w:rsidRPr="00464C75">
        <w:rPr>
          <w:rFonts w:ascii="Arial" w:eastAsia="Calibri" w:hAnsi="Arial" w:cs="Arial"/>
          <w:b/>
          <w:bCs/>
          <w:u w:val="single"/>
        </w:rPr>
        <w:t>Access and Distribution</w:t>
      </w:r>
    </w:p>
    <w:p w14:paraId="724F7766" w14:textId="6B6148F0" w:rsidR="004414DE" w:rsidRDefault="004414DE" w:rsidP="001921E7">
      <w:pPr>
        <w:spacing w:after="0" w:line="240" w:lineRule="auto"/>
        <w:jc w:val="both"/>
        <w:rPr>
          <w:rFonts w:ascii="Arial" w:eastAsia="Calibri" w:hAnsi="Arial" w:cs="Arial"/>
        </w:rPr>
      </w:pPr>
    </w:p>
    <w:p w14:paraId="0E3821B7" w14:textId="2409233F" w:rsidR="00384708" w:rsidRDefault="00384708" w:rsidP="001921E7">
      <w:pPr>
        <w:spacing w:after="0" w:line="240" w:lineRule="auto"/>
        <w:jc w:val="both"/>
        <w:rPr>
          <w:rFonts w:ascii="Arial" w:eastAsia="Calibri" w:hAnsi="Arial" w:cs="Arial"/>
        </w:rPr>
      </w:pPr>
      <w:r>
        <w:rPr>
          <w:rFonts w:ascii="Arial" w:eastAsia="Calibri" w:hAnsi="Arial" w:cs="Arial"/>
        </w:rPr>
        <w:t xml:space="preserve">An oversight body is charged with monitoring and evaluating the CRS operations and will include a review of demographic and other data to identify trends in usage and case dispositions </w:t>
      </w:r>
      <w:r w:rsidR="00F52BFC">
        <w:rPr>
          <w:rFonts w:ascii="Arial" w:eastAsia="Calibri" w:hAnsi="Arial" w:cs="Arial"/>
        </w:rPr>
        <w:t xml:space="preserve">with respect to equity and inclusion.  </w:t>
      </w:r>
    </w:p>
    <w:p w14:paraId="7C6412B5" w14:textId="77777777" w:rsidR="00384708" w:rsidRDefault="00384708" w:rsidP="001921E7">
      <w:pPr>
        <w:spacing w:after="0" w:line="240" w:lineRule="auto"/>
        <w:jc w:val="both"/>
        <w:rPr>
          <w:rFonts w:ascii="Arial" w:eastAsia="Calibri" w:hAnsi="Arial" w:cs="Arial"/>
        </w:rPr>
      </w:pPr>
    </w:p>
    <w:p w14:paraId="1A0AC997" w14:textId="17DF6B65" w:rsidR="004414DE" w:rsidRPr="00464C75" w:rsidRDefault="004414DE" w:rsidP="001921E7">
      <w:pPr>
        <w:spacing w:after="0" w:line="240" w:lineRule="auto"/>
        <w:jc w:val="both"/>
        <w:rPr>
          <w:rFonts w:ascii="Arial" w:eastAsia="Calibri" w:hAnsi="Arial" w:cs="Arial"/>
          <w:b/>
          <w:bCs/>
          <w:u w:val="single"/>
        </w:rPr>
      </w:pPr>
      <w:r w:rsidRPr="00464C75">
        <w:rPr>
          <w:rFonts w:ascii="Arial" w:eastAsia="Calibri" w:hAnsi="Arial" w:cs="Arial"/>
          <w:b/>
          <w:bCs/>
          <w:u w:val="single"/>
        </w:rPr>
        <w:t>Outcomes</w:t>
      </w:r>
    </w:p>
    <w:p w14:paraId="7127C69F" w14:textId="1F412979" w:rsidR="004414DE" w:rsidRDefault="004414DE" w:rsidP="001921E7">
      <w:pPr>
        <w:spacing w:after="0" w:line="240" w:lineRule="auto"/>
        <w:jc w:val="both"/>
        <w:rPr>
          <w:rFonts w:ascii="Arial" w:eastAsia="Calibri" w:hAnsi="Arial" w:cs="Arial"/>
        </w:rPr>
      </w:pPr>
    </w:p>
    <w:p w14:paraId="21E0C2C1" w14:textId="4F0959FC" w:rsidR="00F52BFC" w:rsidRPr="00464C75" w:rsidRDefault="00F52BFC" w:rsidP="00464C75">
      <w:pPr>
        <w:pStyle w:val="ListParagraph"/>
        <w:numPr>
          <w:ilvl w:val="0"/>
          <w:numId w:val="47"/>
        </w:numPr>
        <w:spacing w:after="0" w:line="240" w:lineRule="auto"/>
        <w:jc w:val="both"/>
        <w:rPr>
          <w:rFonts w:ascii="Arial" w:eastAsia="Calibri" w:hAnsi="Arial" w:cs="Arial"/>
        </w:rPr>
      </w:pPr>
      <w:r w:rsidRPr="00464C75">
        <w:rPr>
          <w:rFonts w:ascii="Arial" w:eastAsia="Calibri" w:hAnsi="Arial" w:cs="Arial"/>
        </w:rPr>
        <w:t>Reduce the disproportionate arrest and jail booking rates for those individuals experiencing a mental health crisis.</w:t>
      </w:r>
    </w:p>
    <w:p w14:paraId="38745643" w14:textId="2B05DEDD" w:rsidR="00F52BFC" w:rsidRDefault="00F52BFC" w:rsidP="001921E7">
      <w:pPr>
        <w:spacing w:after="0" w:line="240" w:lineRule="auto"/>
        <w:jc w:val="both"/>
        <w:rPr>
          <w:rFonts w:ascii="Arial" w:eastAsia="Calibri" w:hAnsi="Arial" w:cs="Arial"/>
        </w:rPr>
      </w:pPr>
    </w:p>
    <w:p w14:paraId="1E894C54" w14:textId="49087F54" w:rsidR="00F52BFC" w:rsidRPr="00464C75" w:rsidRDefault="00F52BFC" w:rsidP="00464C75">
      <w:pPr>
        <w:pStyle w:val="ListParagraph"/>
        <w:numPr>
          <w:ilvl w:val="0"/>
          <w:numId w:val="47"/>
        </w:numPr>
        <w:spacing w:after="0" w:line="240" w:lineRule="auto"/>
        <w:jc w:val="both"/>
        <w:rPr>
          <w:rFonts w:ascii="Arial" w:eastAsia="Calibri" w:hAnsi="Arial" w:cs="Arial"/>
        </w:rPr>
      </w:pPr>
      <w:r w:rsidRPr="00464C75">
        <w:rPr>
          <w:rFonts w:ascii="Arial" w:eastAsia="Calibri" w:hAnsi="Arial" w:cs="Arial"/>
        </w:rPr>
        <w:t>Reduce the disproportionate number of Baker and Marchman Act commitments.</w:t>
      </w:r>
    </w:p>
    <w:p w14:paraId="6E054CBE" w14:textId="77777777" w:rsidR="00F52BFC" w:rsidRDefault="00F52BFC" w:rsidP="001921E7">
      <w:pPr>
        <w:spacing w:after="0" w:line="240" w:lineRule="auto"/>
        <w:jc w:val="both"/>
        <w:rPr>
          <w:rFonts w:ascii="Arial" w:eastAsia="Calibri" w:hAnsi="Arial" w:cs="Arial"/>
        </w:rPr>
      </w:pPr>
    </w:p>
    <w:p w14:paraId="1B4396DC" w14:textId="646E3B6D" w:rsidR="00F52BFC" w:rsidRPr="00464C75" w:rsidRDefault="00F52BFC" w:rsidP="00464C75">
      <w:pPr>
        <w:pStyle w:val="ListParagraph"/>
        <w:numPr>
          <w:ilvl w:val="0"/>
          <w:numId w:val="47"/>
        </w:numPr>
        <w:spacing w:after="0" w:line="240" w:lineRule="auto"/>
        <w:jc w:val="both"/>
        <w:rPr>
          <w:rFonts w:ascii="Arial" w:eastAsia="Calibri" w:hAnsi="Arial" w:cs="Arial"/>
        </w:rPr>
      </w:pPr>
      <w:r w:rsidRPr="00464C75">
        <w:rPr>
          <w:rFonts w:ascii="Arial" w:eastAsia="Calibri" w:hAnsi="Arial" w:cs="Arial"/>
        </w:rPr>
        <w:t xml:space="preserve">Increase the warm handoff and successful transition of those experiencing a mental health crisis to other systems of care, e.g., outpatient, peer services, etc.   </w:t>
      </w:r>
    </w:p>
    <w:p w14:paraId="62957D3A" w14:textId="77777777" w:rsidR="00F52BFC" w:rsidRDefault="00F52BFC" w:rsidP="001921E7">
      <w:pPr>
        <w:spacing w:after="0" w:line="240" w:lineRule="auto"/>
        <w:jc w:val="both"/>
        <w:rPr>
          <w:rFonts w:ascii="Arial" w:eastAsia="Calibri" w:hAnsi="Arial" w:cs="Arial"/>
        </w:rPr>
      </w:pPr>
    </w:p>
    <w:p w14:paraId="1199D000" w14:textId="7BFA3BCE" w:rsidR="004414DE" w:rsidRPr="00464C75" w:rsidRDefault="004414DE" w:rsidP="001921E7">
      <w:pPr>
        <w:spacing w:after="0" w:line="240" w:lineRule="auto"/>
        <w:jc w:val="both"/>
        <w:rPr>
          <w:rFonts w:ascii="Arial" w:eastAsia="Calibri" w:hAnsi="Arial" w:cs="Arial"/>
          <w:b/>
          <w:bCs/>
          <w:u w:val="single"/>
        </w:rPr>
      </w:pPr>
      <w:r w:rsidRPr="00464C75">
        <w:rPr>
          <w:rFonts w:ascii="Arial" w:eastAsia="Calibri" w:hAnsi="Arial" w:cs="Arial"/>
          <w:b/>
          <w:bCs/>
          <w:u w:val="single"/>
        </w:rPr>
        <w:t>Measurement</w:t>
      </w:r>
    </w:p>
    <w:p w14:paraId="59FAEE82" w14:textId="4BAA3E0A" w:rsidR="0061601A" w:rsidRDefault="0061601A" w:rsidP="001921E7">
      <w:pPr>
        <w:spacing w:after="0" w:line="240" w:lineRule="auto"/>
        <w:jc w:val="both"/>
        <w:rPr>
          <w:rFonts w:ascii="Arial" w:eastAsia="Calibri" w:hAnsi="Arial" w:cs="Arial"/>
        </w:rPr>
      </w:pPr>
    </w:p>
    <w:p w14:paraId="3B33C042" w14:textId="77777777" w:rsidR="0061601A" w:rsidRPr="00520093" w:rsidRDefault="0061601A" w:rsidP="0061601A">
      <w:pPr>
        <w:tabs>
          <w:tab w:val="left" w:pos="7050"/>
        </w:tabs>
        <w:jc w:val="both"/>
        <w:rPr>
          <w:rFonts w:ascii="Arial" w:hAnsi="Arial" w:cs="Arial"/>
        </w:rPr>
      </w:pPr>
      <w:r w:rsidRPr="00464C75">
        <w:rPr>
          <w:rFonts w:ascii="Arial" w:hAnsi="Arial" w:cs="Arial"/>
        </w:rPr>
        <w:t xml:space="preserve">Proper documentation of the characteristics of those who are served by the planned </w:t>
      </w:r>
      <w:r w:rsidRPr="00464C75">
        <w:rPr>
          <w:rFonts w:ascii="Arial" w:hAnsi="Arial" w:cs="Arial"/>
          <w:szCs w:val="24"/>
        </w:rPr>
        <w:t>CRS</w:t>
      </w:r>
      <w:r w:rsidRPr="00464C75">
        <w:rPr>
          <w:rFonts w:ascii="Arial" w:hAnsi="Arial" w:cs="Arial"/>
        </w:rPr>
        <w:t xml:space="preserve"> for Alachua County will be provided once the </w:t>
      </w:r>
      <w:r w:rsidRPr="00464C75">
        <w:rPr>
          <w:rFonts w:ascii="Arial" w:hAnsi="Arial" w:cs="Arial"/>
          <w:szCs w:val="24"/>
        </w:rPr>
        <w:t>CRS</w:t>
      </w:r>
      <w:r w:rsidRPr="00464C75">
        <w:rPr>
          <w:rFonts w:ascii="Arial" w:hAnsi="Arial" w:cs="Arial"/>
        </w:rPr>
        <w:t xml:space="preserve"> is operational. Quantitative and qualitative data about services, including specific outcomes for disadvantaged communities will be provided during the reporting process for the use of </w:t>
      </w:r>
      <w:r w:rsidRPr="00464C75">
        <w:rPr>
          <w:rFonts w:ascii="Arial" w:hAnsi="Arial" w:cs="Arial"/>
          <w:szCs w:val="24"/>
        </w:rPr>
        <w:t xml:space="preserve">SLFRF </w:t>
      </w:r>
      <w:r w:rsidRPr="00464C75">
        <w:rPr>
          <w:rFonts w:ascii="Arial" w:hAnsi="Arial" w:cs="Arial"/>
        </w:rPr>
        <w:t>funds. Such data will include race, ethnicity and other equity dimensions.</w:t>
      </w:r>
    </w:p>
    <w:p w14:paraId="6909EBE3" w14:textId="0E47DD5F" w:rsidR="00040C6C" w:rsidRPr="005328FF" w:rsidRDefault="00040C6C" w:rsidP="001921E7">
      <w:pPr>
        <w:tabs>
          <w:tab w:val="left" w:pos="7050"/>
        </w:tabs>
        <w:jc w:val="both"/>
        <w:rPr>
          <w:rFonts w:ascii="Arial" w:hAnsi="Arial" w:cs="Arial"/>
          <w:b/>
          <w:bCs/>
        </w:rPr>
      </w:pPr>
      <w:r w:rsidRPr="005328FF">
        <w:rPr>
          <w:rFonts w:ascii="Arial" w:hAnsi="Arial" w:cs="Arial"/>
          <w:b/>
          <w:bCs/>
        </w:rPr>
        <w:t>Community Engagement</w:t>
      </w:r>
      <w:r w:rsidR="00C32DE0">
        <w:rPr>
          <w:rFonts w:ascii="Arial" w:hAnsi="Arial" w:cs="Arial"/>
          <w:b/>
          <w:bCs/>
        </w:rPr>
        <w:t xml:space="preserve"> &amp; Outreach</w:t>
      </w:r>
    </w:p>
    <w:p w14:paraId="40394641" w14:textId="20BA6725" w:rsidR="001F0CBB" w:rsidRDefault="001F0CBB" w:rsidP="25781135">
      <w:pPr>
        <w:tabs>
          <w:tab w:val="left" w:pos="7050"/>
        </w:tabs>
        <w:jc w:val="both"/>
        <w:rPr>
          <w:rFonts w:ascii="Arial" w:hAnsi="Arial" w:cs="Arial"/>
          <w:iCs/>
        </w:rPr>
      </w:pPr>
      <w:r>
        <w:rPr>
          <w:rFonts w:ascii="Arial" w:hAnsi="Arial" w:cs="Arial"/>
          <w:iCs/>
        </w:rPr>
        <w:t xml:space="preserve">An </w:t>
      </w:r>
      <w:r w:rsidR="00EE5D54">
        <w:rPr>
          <w:rFonts w:ascii="Arial" w:hAnsi="Arial" w:cs="Arial"/>
          <w:iCs/>
        </w:rPr>
        <w:t xml:space="preserve">oversight </w:t>
      </w:r>
      <w:r w:rsidR="00F05467">
        <w:rPr>
          <w:rFonts w:ascii="Arial" w:hAnsi="Arial" w:cs="Arial"/>
          <w:iCs/>
        </w:rPr>
        <w:t xml:space="preserve">and community partnership </w:t>
      </w:r>
      <w:r w:rsidR="00EE5D54">
        <w:rPr>
          <w:rFonts w:ascii="Arial" w:hAnsi="Arial" w:cs="Arial"/>
          <w:iCs/>
        </w:rPr>
        <w:t xml:space="preserve">body </w:t>
      </w:r>
      <w:r>
        <w:rPr>
          <w:rFonts w:ascii="Arial" w:hAnsi="Arial" w:cs="Arial"/>
          <w:iCs/>
        </w:rPr>
        <w:t xml:space="preserve">will be formed to oversee the operations of the CRS. </w:t>
      </w:r>
      <w:r w:rsidR="00EE5D54">
        <w:rPr>
          <w:rFonts w:ascii="Arial" w:hAnsi="Arial" w:cs="Arial"/>
          <w:iCs/>
        </w:rPr>
        <w:t>It w</w:t>
      </w:r>
      <w:r w:rsidR="000A5ABC">
        <w:rPr>
          <w:rFonts w:ascii="Arial" w:hAnsi="Arial" w:cs="Arial"/>
          <w:iCs/>
        </w:rPr>
        <w:t>ill be comprised of representatives of those organizations which are engaged as stakeholders in the CRS initiative. As such, partner</w:t>
      </w:r>
      <w:r w:rsidR="00812235">
        <w:rPr>
          <w:rFonts w:ascii="Arial" w:hAnsi="Arial" w:cs="Arial"/>
          <w:iCs/>
        </w:rPr>
        <w:t xml:space="preserve"> </w:t>
      </w:r>
      <w:r w:rsidR="000A5ABC">
        <w:rPr>
          <w:rFonts w:ascii="Arial" w:hAnsi="Arial" w:cs="Arial"/>
          <w:iCs/>
        </w:rPr>
        <w:t xml:space="preserve">agencies </w:t>
      </w:r>
      <w:r w:rsidR="000408FE">
        <w:rPr>
          <w:rFonts w:ascii="Arial" w:hAnsi="Arial" w:cs="Arial"/>
          <w:iCs/>
        </w:rPr>
        <w:t>will include</w:t>
      </w:r>
      <w:r w:rsidR="00812235">
        <w:rPr>
          <w:rFonts w:ascii="Arial" w:hAnsi="Arial" w:cs="Arial"/>
          <w:iCs/>
        </w:rPr>
        <w:t>,</w:t>
      </w:r>
      <w:r w:rsidR="000408FE">
        <w:rPr>
          <w:rFonts w:ascii="Arial" w:hAnsi="Arial" w:cs="Arial"/>
          <w:iCs/>
        </w:rPr>
        <w:t xml:space="preserve"> among others: law enforcement, public sector agencies such as the City of Gainesville and </w:t>
      </w:r>
      <w:r w:rsidR="00812235">
        <w:rPr>
          <w:rFonts w:ascii="Arial" w:hAnsi="Arial" w:cs="Arial"/>
          <w:iCs/>
        </w:rPr>
        <w:t xml:space="preserve">the </w:t>
      </w:r>
      <w:r w:rsidR="000408FE">
        <w:rPr>
          <w:rFonts w:ascii="Arial" w:hAnsi="Arial" w:cs="Arial"/>
          <w:iCs/>
        </w:rPr>
        <w:t>County; and, behavioral health providers, including the key vendor organization for delivery o</w:t>
      </w:r>
      <w:r w:rsidR="00812235">
        <w:rPr>
          <w:rFonts w:ascii="Arial" w:hAnsi="Arial" w:cs="Arial"/>
          <w:iCs/>
        </w:rPr>
        <w:t xml:space="preserve">f </w:t>
      </w:r>
      <w:r w:rsidR="000408FE">
        <w:rPr>
          <w:rFonts w:ascii="Arial" w:hAnsi="Arial" w:cs="Arial"/>
          <w:iCs/>
        </w:rPr>
        <w:t xml:space="preserve">services, </w:t>
      </w:r>
      <w:r w:rsidR="000408FE" w:rsidRPr="00480CDE">
        <w:rPr>
          <w:rFonts w:ascii="Arial" w:hAnsi="Arial" w:cs="Arial"/>
          <w:iCs/>
        </w:rPr>
        <w:t>Meridian</w:t>
      </w:r>
      <w:r w:rsidR="00F05467" w:rsidRPr="00480CDE">
        <w:rPr>
          <w:rFonts w:ascii="Arial" w:hAnsi="Arial" w:cs="Arial"/>
          <w:iCs/>
        </w:rPr>
        <w:t xml:space="preserve"> as well as individuals who have utilized central receiving </w:t>
      </w:r>
      <w:r w:rsidR="00BC4DC0" w:rsidRPr="00480CDE">
        <w:rPr>
          <w:rFonts w:ascii="Arial" w:hAnsi="Arial" w:cs="Arial"/>
          <w:iCs/>
        </w:rPr>
        <w:t>services</w:t>
      </w:r>
      <w:r w:rsidR="00F05467" w:rsidRPr="00480CDE">
        <w:rPr>
          <w:rFonts w:ascii="Arial" w:hAnsi="Arial" w:cs="Arial"/>
          <w:iCs/>
        </w:rPr>
        <w:t xml:space="preserve"> as residents, and </w:t>
      </w:r>
      <w:r w:rsidR="00BC4DC0" w:rsidRPr="00480CDE">
        <w:rPr>
          <w:rFonts w:ascii="Arial" w:hAnsi="Arial" w:cs="Arial"/>
          <w:iCs/>
        </w:rPr>
        <w:t>commun</w:t>
      </w:r>
      <w:r w:rsidR="00F05467" w:rsidRPr="00480CDE">
        <w:rPr>
          <w:rFonts w:ascii="Arial" w:hAnsi="Arial" w:cs="Arial"/>
          <w:iCs/>
        </w:rPr>
        <w:t xml:space="preserve">ity leaders </w:t>
      </w:r>
      <w:r w:rsidR="00BC4DC0" w:rsidRPr="00480CDE">
        <w:rPr>
          <w:rFonts w:ascii="Arial" w:hAnsi="Arial" w:cs="Arial"/>
          <w:iCs/>
        </w:rPr>
        <w:t>working on behalf of underserved</w:t>
      </w:r>
      <w:r w:rsidR="00F05467" w:rsidRPr="00480CDE">
        <w:rPr>
          <w:rFonts w:ascii="Arial" w:hAnsi="Arial" w:cs="Arial"/>
          <w:iCs/>
        </w:rPr>
        <w:t xml:space="preserve"> populations</w:t>
      </w:r>
      <w:r w:rsidR="00BC4DC0" w:rsidRPr="00480CDE">
        <w:rPr>
          <w:rFonts w:ascii="Arial" w:hAnsi="Arial" w:cs="Arial"/>
          <w:iCs/>
        </w:rPr>
        <w:t xml:space="preserve"> will be engaged and invited to participate</w:t>
      </w:r>
      <w:r w:rsidR="000408FE" w:rsidRPr="00480CDE">
        <w:rPr>
          <w:rFonts w:ascii="Arial" w:hAnsi="Arial" w:cs="Arial"/>
          <w:iCs/>
        </w:rPr>
        <w:t xml:space="preserve">. </w:t>
      </w:r>
    </w:p>
    <w:p w14:paraId="1D36C88F" w14:textId="51BA9367" w:rsidR="00B67771" w:rsidRDefault="0046005F" w:rsidP="25781135">
      <w:pPr>
        <w:tabs>
          <w:tab w:val="left" w:pos="7050"/>
        </w:tabs>
        <w:jc w:val="both"/>
        <w:rPr>
          <w:rFonts w:ascii="Arial" w:hAnsi="Arial" w:cs="Arial"/>
          <w:iCs/>
        </w:rPr>
      </w:pPr>
      <w:r>
        <w:rPr>
          <w:rFonts w:ascii="Arial" w:hAnsi="Arial" w:cs="Arial"/>
          <w:iCs/>
        </w:rPr>
        <w:lastRenderedPageBreak/>
        <w:t>Beyond a leadership</w:t>
      </w:r>
      <w:r w:rsidR="00812235">
        <w:rPr>
          <w:rFonts w:ascii="Arial" w:hAnsi="Arial" w:cs="Arial"/>
          <w:iCs/>
        </w:rPr>
        <w:t>/</w:t>
      </w:r>
      <w:r>
        <w:rPr>
          <w:rFonts w:ascii="Arial" w:hAnsi="Arial" w:cs="Arial"/>
          <w:iCs/>
        </w:rPr>
        <w:t xml:space="preserve">management level, there is </w:t>
      </w:r>
      <w:r w:rsidR="00B549DC">
        <w:rPr>
          <w:rFonts w:ascii="Arial" w:hAnsi="Arial" w:cs="Arial"/>
          <w:iCs/>
        </w:rPr>
        <w:t xml:space="preserve">keen </w:t>
      </w:r>
      <w:r>
        <w:rPr>
          <w:rFonts w:ascii="Arial" w:hAnsi="Arial" w:cs="Arial"/>
          <w:iCs/>
        </w:rPr>
        <w:t>recognition that engagement and outreach must happen at</w:t>
      </w:r>
      <w:r w:rsidR="00812235">
        <w:rPr>
          <w:rFonts w:ascii="Arial" w:hAnsi="Arial" w:cs="Arial"/>
          <w:iCs/>
        </w:rPr>
        <w:t xml:space="preserve"> and with</w:t>
      </w:r>
      <w:r w:rsidR="00EE5D54">
        <w:rPr>
          <w:rFonts w:ascii="Arial" w:hAnsi="Arial" w:cs="Arial"/>
          <w:iCs/>
        </w:rPr>
        <w:t>in</w:t>
      </w:r>
      <w:r>
        <w:rPr>
          <w:rFonts w:ascii="Arial" w:hAnsi="Arial" w:cs="Arial"/>
          <w:iCs/>
        </w:rPr>
        <w:t xml:space="preserve"> </w:t>
      </w:r>
      <w:r w:rsidR="00812235">
        <w:rPr>
          <w:rFonts w:ascii="Arial" w:hAnsi="Arial" w:cs="Arial"/>
          <w:iCs/>
        </w:rPr>
        <w:t>the</w:t>
      </w:r>
      <w:r>
        <w:rPr>
          <w:rFonts w:ascii="Arial" w:hAnsi="Arial" w:cs="Arial"/>
          <w:iCs/>
        </w:rPr>
        <w:t xml:space="preserve"> community</w:t>
      </w:r>
      <w:r w:rsidR="00812235">
        <w:rPr>
          <w:rFonts w:ascii="Arial" w:hAnsi="Arial" w:cs="Arial"/>
          <w:iCs/>
        </w:rPr>
        <w:t xml:space="preserve"> </w:t>
      </w:r>
      <w:r w:rsidR="00BC4DC0">
        <w:rPr>
          <w:rFonts w:ascii="Arial" w:hAnsi="Arial" w:cs="Arial"/>
          <w:iCs/>
        </w:rPr>
        <w:t>to</w:t>
      </w:r>
      <w:r w:rsidR="00B67771">
        <w:rPr>
          <w:rFonts w:ascii="Arial" w:hAnsi="Arial" w:cs="Arial"/>
          <w:iCs/>
        </w:rPr>
        <w:t xml:space="preserve"> pursue equitable outcomes </w:t>
      </w:r>
      <w:r w:rsidR="00812235">
        <w:rPr>
          <w:rFonts w:ascii="Arial" w:hAnsi="Arial" w:cs="Arial"/>
          <w:iCs/>
        </w:rPr>
        <w:t xml:space="preserve">truly </w:t>
      </w:r>
      <w:r w:rsidR="00B67771">
        <w:rPr>
          <w:rFonts w:ascii="Arial" w:hAnsi="Arial" w:cs="Arial"/>
          <w:iCs/>
        </w:rPr>
        <w:t>reflective of diversity and inclusion. In order to achieve such aims, the County and its partners in this venture will apply a variety of different tools and approaches.</w:t>
      </w:r>
    </w:p>
    <w:p w14:paraId="441431F9" w14:textId="7DB5AADC" w:rsidR="006018A4" w:rsidRDefault="00B67771" w:rsidP="25781135">
      <w:pPr>
        <w:tabs>
          <w:tab w:val="left" w:pos="7050"/>
        </w:tabs>
        <w:jc w:val="both"/>
        <w:rPr>
          <w:rFonts w:ascii="Arial" w:hAnsi="Arial" w:cs="Arial"/>
          <w:iCs/>
        </w:rPr>
      </w:pPr>
      <w:r>
        <w:rPr>
          <w:rFonts w:ascii="Arial" w:hAnsi="Arial" w:cs="Arial"/>
          <w:iCs/>
        </w:rPr>
        <w:t>As previously noted</w:t>
      </w:r>
      <w:r w:rsidR="00812235">
        <w:rPr>
          <w:rFonts w:ascii="Arial" w:hAnsi="Arial" w:cs="Arial"/>
          <w:iCs/>
        </w:rPr>
        <w:t>,</w:t>
      </w:r>
      <w:r>
        <w:rPr>
          <w:rFonts w:ascii="Arial" w:hAnsi="Arial" w:cs="Arial"/>
          <w:iCs/>
        </w:rPr>
        <w:t xml:space="preserve"> the CRS will be available to those in behavioral health crisis, and many will be delivered directly by law enforcement. </w:t>
      </w:r>
      <w:r w:rsidR="00E92DF3">
        <w:rPr>
          <w:rFonts w:ascii="Arial" w:hAnsi="Arial" w:cs="Arial"/>
          <w:iCs/>
        </w:rPr>
        <w:t xml:space="preserve">Entry for a significant number of individuals </w:t>
      </w:r>
      <w:r w:rsidR="00334F95">
        <w:rPr>
          <w:rFonts w:ascii="Arial" w:hAnsi="Arial" w:cs="Arial"/>
          <w:iCs/>
        </w:rPr>
        <w:t xml:space="preserve">will be via walk-in, including with the assistance of family members. It will be important for members of communities including those for whom language may be a barrier (identified in the table </w:t>
      </w:r>
      <w:r w:rsidR="006018A4">
        <w:rPr>
          <w:rFonts w:ascii="Arial" w:hAnsi="Arial" w:cs="Arial"/>
          <w:iCs/>
        </w:rPr>
        <w:t>above) to</w:t>
      </w:r>
      <w:r w:rsidR="00334F95">
        <w:rPr>
          <w:rFonts w:ascii="Arial" w:hAnsi="Arial" w:cs="Arial"/>
          <w:iCs/>
        </w:rPr>
        <w:t xml:space="preserve"> understand fully the role of the CRS, the types of services available and process used to obtain access to services. </w:t>
      </w:r>
    </w:p>
    <w:p w14:paraId="2DBFADA5" w14:textId="4A4D70A2" w:rsidR="00334F95" w:rsidRDefault="005457C6" w:rsidP="25781135">
      <w:pPr>
        <w:tabs>
          <w:tab w:val="left" w:pos="7050"/>
        </w:tabs>
        <w:jc w:val="both"/>
        <w:rPr>
          <w:rFonts w:ascii="Arial" w:hAnsi="Arial" w:cs="Arial"/>
          <w:iCs/>
        </w:rPr>
      </w:pPr>
      <w:r>
        <w:rPr>
          <w:rFonts w:ascii="Arial" w:hAnsi="Arial" w:cs="Arial"/>
          <w:iCs/>
        </w:rPr>
        <w:t>Through a collaborative approach with community partners, the County will organize a comprehensive outreach plan to ensure broad involvement among those communities wh</w:t>
      </w:r>
      <w:r w:rsidR="006341BB">
        <w:rPr>
          <w:rFonts w:ascii="Arial" w:hAnsi="Arial" w:cs="Arial"/>
          <w:iCs/>
        </w:rPr>
        <w:t>o</w:t>
      </w:r>
      <w:r>
        <w:rPr>
          <w:rFonts w:ascii="Arial" w:hAnsi="Arial" w:cs="Arial"/>
          <w:iCs/>
        </w:rPr>
        <w:t xml:space="preserve"> have been </w:t>
      </w:r>
      <w:r w:rsidR="00B35472">
        <w:rPr>
          <w:rFonts w:ascii="Arial" w:hAnsi="Arial" w:cs="Arial"/>
          <w:iCs/>
        </w:rPr>
        <w:t>disproportionately</w:t>
      </w:r>
      <w:r>
        <w:rPr>
          <w:rFonts w:ascii="Arial" w:hAnsi="Arial" w:cs="Arial"/>
          <w:iCs/>
        </w:rPr>
        <w:t xml:space="preserve"> </w:t>
      </w:r>
      <w:r w:rsidR="005951A5">
        <w:rPr>
          <w:rFonts w:ascii="Arial" w:hAnsi="Arial" w:cs="Arial"/>
          <w:iCs/>
        </w:rPr>
        <w:t xml:space="preserve">impacted </w:t>
      </w:r>
      <w:r w:rsidR="00B35472">
        <w:rPr>
          <w:rFonts w:ascii="Arial" w:hAnsi="Arial" w:cs="Arial"/>
          <w:iCs/>
        </w:rPr>
        <w:t xml:space="preserve">historically </w:t>
      </w:r>
      <w:r w:rsidR="005951A5">
        <w:rPr>
          <w:rFonts w:ascii="Arial" w:hAnsi="Arial" w:cs="Arial"/>
          <w:iCs/>
        </w:rPr>
        <w:t>by poor health outcomes, including behavioral health</w:t>
      </w:r>
      <w:r w:rsidR="00BC4DC0">
        <w:rPr>
          <w:rFonts w:ascii="Arial" w:hAnsi="Arial" w:cs="Arial"/>
          <w:iCs/>
        </w:rPr>
        <w:t xml:space="preserve"> especially those exacerbated by Covid</w:t>
      </w:r>
      <w:r w:rsidR="005951A5">
        <w:rPr>
          <w:rFonts w:ascii="Arial" w:hAnsi="Arial" w:cs="Arial"/>
          <w:iCs/>
        </w:rPr>
        <w:t xml:space="preserve">. </w:t>
      </w:r>
      <w:r w:rsidR="006341BB">
        <w:rPr>
          <w:rFonts w:ascii="Arial" w:hAnsi="Arial" w:cs="Arial"/>
          <w:iCs/>
        </w:rPr>
        <w:t>County- wide organizations such as the National Alliance for the Mentally Ill/Gainesville Chapter</w:t>
      </w:r>
      <w:r w:rsidR="00B35472">
        <w:rPr>
          <w:rFonts w:ascii="Arial" w:hAnsi="Arial" w:cs="Arial"/>
          <w:iCs/>
        </w:rPr>
        <w:t>, including consumers of behavioral health services</w:t>
      </w:r>
      <w:r w:rsidR="006F5AC0">
        <w:rPr>
          <w:rFonts w:ascii="Arial" w:hAnsi="Arial" w:cs="Arial"/>
          <w:iCs/>
        </w:rPr>
        <w:t xml:space="preserve"> will </w:t>
      </w:r>
      <w:r w:rsidR="005331E1">
        <w:rPr>
          <w:rFonts w:ascii="Arial" w:hAnsi="Arial" w:cs="Arial"/>
          <w:iCs/>
        </w:rPr>
        <w:t>be critical in this effort</w:t>
      </w:r>
      <w:r w:rsidR="00B35472">
        <w:rPr>
          <w:rFonts w:ascii="Arial" w:hAnsi="Arial" w:cs="Arial"/>
          <w:iCs/>
        </w:rPr>
        <w:t>. T</w:t>
      </w:r>
      <w:r w:rsidR="005331E1">
        <w:rPr>
          <w:rFonts w:ascii="Arial" w:hAnsi="Arial" w:cs="Arial"/>
          <w:iCs/>
        </w:rPr>
        <w:t xml:space="preserve">heir assistance will </w:t>
      </w:r>
      <w:r w:rsidR="006F5AC0">
        <w:rPr>
          <w:rFonts w:ascii="Arial" w:hAnsi="Arial" w:cs="Arial"/>
          <w:iCs/>
        </w:rPr>
        <w:t>supplement efforts to engage</w:t>
      </w:r>
      <w:r w:rsidR="005331E1">
        <w:rPr>
          <w:rFonts w:ascii="Arial" w:hAnsi="Arial" w:cs="Arial"/>
          <w:iCs/>
        </w:rPr>
        <w:t xml:space="preserve"> more</w:t>
      </w:r>
      <w:r w:rsidR="006F5AC0">
        <w:rPr>
          <w:rFonts w:ascii="Arial" w:hAnsi="Arial" w:cs="Arial"/>
          <w:iCs/>
        </w:rPr>
        <w:t xml:space="preserve"> neighborhood-based</w:t>
      </w:r>
      <w:r w:rsidR="005331E1">
        <w:rPr>
          <w:rFonts w:ascii="Arial" w:hAnsi="Arial" w:cs="Arial"/>
          <w:iCs/>
        </w:rPr>
        <w:t xml:space="preserve"> organizations representing individuals</w:t>
      </w:r>
      <w:r w:rsidR="00B35472">
        <w:rPr>
          <w:rFonts w:ascii="Arial" w:hAnsi="Arial" w:cs="Arial"/>
          <w:iCs/>
        </w:rPr>
        <w:t xml:space="preserve"> </w:t>
      </w:r>
      <w:r w:rsidR="005331E1">
        <w:rPr>
          <w:rFonts w:ascii="Arial" w:hAnsi="Arial" w:cs="Arial"/>
          <w:iCs/>
        </w:rPr>
        <w:t xml:space="preserve">from households where English </w:t>
      </w:r>
      <w:r w:rsidR="00B35472">
        <w:rPr>
          <w:rFonts w:ascii="Arial" w:hAnsi="Arial" w:cs="Arial"/>
          <w:iCs/>
        </w:rPr>
        <w:t xml:space="preserve">is </w:t>
      </w:r>
      <w:r w:rsidR="005331E1">
        <w:rPr>
          <w:rFonts w:ascii="Arial" w:hAnsi="Arial" w:cs="Arial"/>
          <w:iCs/>
        </w:rPr>
        <w:t>spoken</w:t>
      </w:r>
      <w:r w:rsidR="00B35472">
        <w:rPr>
          <w:rFonts w:ascii="Arial" w:hAnsi="Arial" w:cs="Arial"/>
          <w:iCs/>
        </w:rPr>
        <w:t xml:space="preserve"> as a second language</w:t>
      </w:r>
      <w:r w:rsidR="005331E1">
        <w:rPr>
          <w:rFonts w:ascii="Arial" w:hAnsi="Arial" w:cs="Arial"/>
          <w:iCs/>
        </w:rPr>
        <w:t xml:space="preserve">. </w:t>
      </w:r>
      <w:r w:rsidR="005951A5">
        <w:rPr>
          <w:rFonts w:ascii="Arial" w:hAnsi="Arial" w:cs="Arial"/>
          <w:iCs/>
        </w:rPr>
        <w:t>Specific opportunities for engagement will be focus groups and workshops in neighborhoods</w:t>
      </w:r>
      <w:r w:rsidR="00B715E1">
        <w:rPr>
          <w:rFonts w:ascii="Arial" w:hAnsi="Arial" w:cs="Arial"/>
          <w:iCs/>
        </w:rPr>
        <w:t>, for the purpose of receiving input about planned services and access strategies for those needing assessment and triage at the CR</w:t>
      </w:r>
      <w:r w:rsidR="003E6D67">
        <w:rPr>
          <w:rFonts w:ascii="Arial" w:hAnsi="Arial" w:cs="Arial"/>
          <w:iCs/>
        </w:rPr>
        <w:t>S</w:t>
      </w:r>
      <w:r w:rsidR="00B715E1">
        <w:rPr>
          <w:rFonts w:ascii="Arial" w:hAnsi="Arial" w:cs="Arial"/>
          <w:iCs/>
        </w:rPr>
        <w:t xml:space="preserve">. </w:t>
      </w:r>
    </w:p>
    <w:p w14:paraId="088EC028" w14:textId="102E01F4" w:rsidR="001C63D1" w:rsidRDefault="003E6D67" w:rsidP="25781135">
      <w:pPr>
        <w:tabs>
          <w:tab w:val="left" w:pos="7050"/>
        </w:tabs>
        <w:jc w:val="both"/>
        <w:rPr>
          <w:rFonts w:ascii="Arial" w:hAnsi="Arial" w:cs="Arial"/>
          <w:iCs/>
        </w:rPr>
      </w:pPr>
      <w:r>
        <w:rPr>
          <w:rFonts w:ascii="Arial" w:hAnsi="Arial" w:cs="Arial"/>
          <w:iCs/>
        </w:rPr>
        <w:t>Community</w:t>
      </w:r>
      <w:r w:rsidR="00FB5992">
        <w:rPr>
          <w:rFonts w:ascii="Arial" w:hAnsi="Arial" w:cs="Arial"/>
          <w:iCs/>
        </w:rPr>
        <w:t xml:space="preserve"> education will </w:t>
      </w:r>
      <w:r>
        <w:rPr>
          <w:rFonts w:ascii="Arial" w:hAnsi="Arial" w:cs="Arial"/>
          <w:iCs/>
        </w:rPr>
        <w:t xml:space="preserve">also need to </w:t>
      </w:r>
      <w:r w:rsidR="00FB5992">
        <w:rPr>
          <w:rFonts w:ascii="Arial" w:hAnsi="Arial" w:cs="Arial"/>
          <w:iCs/>
        </w:rPr>
        <w:t xml:space="preserve">include the development of </w:t>
      </w:r>
      <w:r w:rsidR="006341BB">
        <w:rPr>
          <w:rFonts w:ascii="Arial" w:hAnsi="Arial" w:cs="Arial"/>
          <w:iCs/>
        </w:rPr>
        <w:t>a fact sheet that identifies how to access the CRS</w:t>
      </w:r>
      <w:r w:rsidR="00FB5992">
        <w:rPr>
          <w:rFonts w:ascii="Arial" w:hAnsi="Arial" w:cs="Arial"/>
          <w:iCs/>
        </w:rPr>
        <w:t xml:space="preserve"> within the context of</w:t>
      </w:r>
      <w:r w:rsidR="006E3595">
        <w:rPr>
          <w:rFonts w:ascii="Arial" w:hAnsi="Arial" w:cs="Arial"/>
          <w:iCs/>
        </w:rPr>
        <w:t xml:space="preserve"> the behavioral health system</w:t>
      </w:r>
      <w:r w:rsidR="006341BB">
        <w:rPr>
          <w:rFonts w:ascii="Arial" w:hAnsi="Arial" w:cs="Arial"/>
          <w:iCs/>
        </w:rPr>
        <w:t>. This tool</w:t>
      </w:r>
      <w:r w:rsidR="006E3595">
        <w:rPr>
          <w:rFonts w:ascii="Arial" w:hAnsi="Arial" w:cs="Arial"/>
          <w:iCs/>
        </w:rPr>
        <w:t xml:space="preserve"> must address the stigma of behavioral health needs from a personal </w:t>
      </w:r>
      <w:r w:rsidR="00BC4DC0">
        <w:rPr>
          <w:rFonts w:ascii="Arial" w:hAnsi="Arial" w:cs="Arial"/>
          <w:iCs/>
        </w:rPr>
        <w:t>perspective and</w:t>
      </w:r>
      <w:r w:rsidR="006E3595">
        <w:rPr>
          <w:rFonts w:ascii="Arial" w:hAnsi="Arial" w:cs="Arial"/>
          <w:iCs/>
        </w:rPr>
        <w:t xml:space="preserve"> be sensitive to a multi-cultural audience. </w:t>
      </w:r>
      <w:r w:rsidR="001C63D1">
        <w:rPr>
          <w:rFonts w:ascii="Arial" w:hAnsi="Arial" w:cs="Arial"/>
          <w:iCs/>
        </w:rPr>
        <w:t xml:space="preserve">Further, any such communications tool needs to be fully accessible, which is accomplished by </w:t>
      </w:r>
      <w:r>
        <w:rPr>
          <w:rFonts w:ascii="Arial" w:hAnsi="Arial" w:cs="Arial"/>
          <w:iCs/>
        </w:rPr>
        <w:t>translation in</w:t>
      </w:r>
      <w:r w:rsidR="001C63D1">
        <w:rPr>
          <w:rFonts w:ascii="Arial" w:hAnsi="Arial" w:cs="Arial"/>
          <w:iCs/>
        </w:rPr>
        <w:t xml:space="preserve"> every</w:t>
      </w:r>
      <w:r w:rsidR="00A21937">
        <w:rPr>
          <w:rFonts w:ascii="Arial" w:hAnsi="Arial" w:cs="Arial"/>
          <w:iCs/>
        </w:rPr>
        <w:t xml:space="preserve"> </w:t>
      </w:r>
      <w:r w:rsidR="001C63D1">
        <w:rPr>
          <w:rFonts w:ascii="Arial" w:hAnsi="Arial" w:cs="Arial"/>
          <w:iCs/>
        </w:rPr>
        <w:t xml:space="preserve">language used in our community. </w:t>
      </w:r>
    </w:p>
    <w:p w14:paraId="3454E037" w14:textId="0E9D5E85" w:rsidR="00B715E1" w:rsidRDefault="006E3595" w:rsidP="25781135">
      <w:pPr>
        <w:tabs>
          <w:tab w:val="left" w:pos="7050"/>
        </w:tabs>
        <w:jc w:val="both"/>
        <w:rPr>
          <w:rFonts w:ascii="Arial" w:hAnsi="Arial" w:cs="Arial"/>
          <w:iCs/>
        </w:rPr>
      </w:pPr>
      <w:r>
        <w:rPr>
          <w:rFonts w:ascii="Arial" w:hAnsi="Arial" w:cs="Arial"/>
          <w:iCs/>
        </w:rPr>
        <w:t xml:space="preserve">A fundamental element of this initiative needs to be </w:t>
      </w:r>
      <w:r w:rsidR="006C4330">
        <w:rPr>
          <w:rFonts w:ascii="Arial" w:hAnsi="Arial" w:cs="Arial"/>
          <w:iCs/>
        </w:rPr>
        <w:t xml:space="preserve">listening to members of disadvantaged communities about their </w:t>
      </w:r>
      <w:r w:rsidR="003E6D67">
        <w:rPr>
          <w:rFonts w:ascii="Arial" w:hAnsi="Arial" w:cs="Arial"/>
          <w:iCs/>
        </w:rPr>
        <w:t xml:space="preserve">own </w:t>
      </w:r>
      <w:r w:rsidR="006C4330">
        <w:rPr>
          <w:rFonts w:ascii="Arial" w:hAnsi="Arial" w:cs="Arial"/>
          <w:iCs/>
        </w:rPr>
        <w:t>perception of behavioral health issues,</w:t>
      </w:r>
      <w:r w:rsidR="003E6D67">
        <w:rPr>
          <w:rFonts w:ascii="Arial" w:hAnsi="Arial" w:cs="Arial"/>
          <w:iCs/>
        </w:rPr>
        <w:t xml:space="preserve"> gaps in existing traditional helping systems,</w:t>
      </w:r>
      <w:r w:rsidR="006C4330">
        <w:rPr>
          <w:rFonts w:ascii="Arial" w:hAnsi="Arial" w:cs="Arial"/>
          <w:iCs/>
        </w:rPr>
        <w:t xml:space="preserve"> law enforcement’s role in access to behavioral health services</w:t>
      </w:r>
      <w:r>
        <w:rPr>
          <w:rFonts w:ascii="Arial" w:hAnsi="Arial" w:cs="Arial"/>
          <w:iCs/>
        </w:rPr>
        <w:t xml:space="preserve"> </w:t>
      </w:r>
      <w:r w:rsidR="003E6D67">
        <w:rPr>
          <w:rFonts w:ascii="Arial" w:hAnsi="Arial" w:cs="Arial"/>
          <w:iCs/>
        </w:rPr>
        <w:t>and</w:t>
      </w:r>
      <w:r w:rsidR="006C4330">
        <w:rPr>
          <w:rFonts w:ascii="Arial" w:hAnsi="Arial" w:cs="Arial"/>
          <w:iCs/>
        </w:rPr>
        <w:t xml:space="preserve"> proposed strategies through the CRS to assist these communities. The first year of the CRS</w:t>
      </w:r>
      <w:r w:rsidR="00E13F89">
        <w:rPr>
          <w:rFonts w:ascii="Arial" w:hAnsi="Arial" w:cs="Arial"/>
          <w:iCs/>
        </w:rPr>
        <w:t xml:space="preserve">’s </w:t>
      </w:r>
      <w:r w:rsidR="006C4330">
        <w:rPr>
          <w:rFonts w:ascii="Arial" w:hAnsi="Arial" w:cs="Arial"/>
          <w:iCs/>
        </w:rPr>
        <w:t xml:space="preserve">development </w:t>
      </w:r>
      <w:r w:rsidR="003E6D67">
        <w:rPr>
          <w:rFonts w:ascii="Arial" w:hAnsi="Arial" w:cs="Arial"/>
          <w:iCs/>
        </w:rPr>
        <w:t>requires</w:t>
      </w:r>
      <w:r w:rsidR="006C4330">
        <w:rPr>
          <w:rFonts w:ascii="Arial" w:hAnsi="Arial" w:cs="Arial"/>
          <w:iCs/>
        </w:rPr>
        <w:t xml:space="preserve"> rehabilitating a physical structure to accommodate the new program</w:t>
      </w:r>
      <w:r w:rsidR="00E13F89">
        <w:rPr>
          <w:rFonts w:ascii="Arial" w:hAnsi="Arial" w:cs="Arial"/>
          <w:iCs/>
        </w:rPr>
        <w:t xml:space="preserve">, and planned services. Therefore, there will be a significant </w:t>
      </w:r>
      <w:r w:rsidR="003E3114">
        <w:rPr>
          <w:rFonts w:ascii="Arial" w:hAnsi="Arial" w:cs="Arial"/>
          <w:iCs/>
        </w:rPr>
        <w:t xml:space="preserve">advance </w:t>
      </w:r>
      <w:r w:rsidR="00E13F89">
        <w:rPr>
          <w:rFonts w:ascii="Arial" w:hAnsi="Arial" w:cs="Arial"/>
          <w:iCs/>
        </w:rPr>
        <w:t xml:space="preserve">period in which to engage </w:t>
      </w:r>
      <w:r w:rsidR="003E3114">
        <w:rPr>
          <w:rFonts w:ascii="Arial" w:hAnsi="Arial" w:cs="Arial"/>
          <w:iCs/>
        </w:rPr>
        <w:t>underserved</w:t>
      </w:r>
      <w:r w:rsidR="00E13F89">
        <w:rPr>
          <w:rFonts w:ascii="Arial" w:hAnsi="Arial" w:cs="Arial"/>
          <w:iCs/>
        </w:rPr>
        <w:t xml:space="preserve"> communities </w:t>
      </w:r>
      <w:r w:rsidR="003E3114">
        <w:rPr>
          <w:rFonts w:ascii="Arial" w:hAnsi="Arial" w:cs="Arial"/>
          <w:iCs/>
        </w:rPr>
        <w:t xml:space="preserve">by </w:t>
      </w:r>
      <w:r w:rsidR="00E13F89">
        <w:rPr>
          <w:rFonts w:ascii="Arial" w:hAnsi="Arial" w:cs="Arial"/>
          <w:iCs/>
        </w:rPr>
        <w:t>conduct</w:t>
      </w:r>
      <w:r w:rsidR="003E3114">
        <w:rPr>
          <w:rFonts w:ascii="Arial" w:hAnsi="Arial" w:cs="Arial"/>
          <w:iCs/>
        </w:rPr>
        <w:t>ing</w:t>
      </w:r>
      <w:r w:rsidR="00E13F89">
        <w:rPr>
          <w:rFonts w:ascii="Arial" w:hAnsi="Arial" w:cs="Arial"/>
          <w:iCs/>
        </w:rPr>
        <w:t xml:space="preserve"> focus groups</w:t>
      </w:r>
      <w:r w:rsidR="003E3114">
        <w:rPr>
          <w:rFonts w:ascii="Arial" w:hAnsi="Arial" w:cs="Arial"/>
          <w:iCs/>
        </w:rPr>
        <w:t xml:space="preserve"> and</w:t>
      </w:r>
      <w:r w:rsidR="00E13F89">
        <w:rPr>
          <w:rFonts w:ascii="Arial" w:hAnsi="Arial" w:cs="Arial"/>
          <w:iCs/>
        </w:rPr>
        <w:t xml:space="preserve"> community workshops to obtain perspectives from multiple groups about the planned CRS and its role in serving them, their families and neighbors. </w:t>
      </w:r>
    </w:p>
    <w:p w14:paraId="1626E847" w14:textId="540DA3BB" w:rsidR="00040C6C" w:rsidRPr="005328FF" w:rsidRDefault="00040C6C" w:rsidP="001921E7">
      <w:pPr>
        <w:tabs>
          <w:tab w:val="left" w:pos="7050"/>
        </w:tabs>
        <w:jc w:val="both"/>
        <w:rPr>
          <w:rFonts w:ascii="Arial" w:hAnsi="Arial" w:cs="Arial"/>
          <w:b/>
          <w:bCs/>
        </w:rPr>
      </w:pPr>
      <w:r w:rsidRPr="005328FF">
        <w:rPr>
          <w:rFonts w:ascii="Arial" w:hAnsi="Arial" w:cs="Arial"/>
          <w:b/>
          <w:bCs/>
        </w:rPr>
        <w:t xml:space="preserve">Labor Practices </w:t>
      </w:r>
    </w:p>
    <w:p w14:paraId="57AC6D4B" w14:textId="122B869B" w:rsidR="00847243" w:rsidRPr="00464C75" w:rsidRDefault="00BD6587" w:rsidP="001921E7">
      <w:pPr>
        <w:tabs>
          <w:tab w:val="left" w:pos="7050"/>
        </w:tabs>
        <w:jc w:val="both"/>
        <w:rPr>
          <w:rFonts w:ascii="Arial" w:hAnsi="Arial" w:cs="Arial"/>
          <w:iCs/>
          <w:color w:val="FF0000"/>
        </w:rPr>
      </w:pPr>
      <w:r w:rsidRPr="005328FF">
        <w:rPr>
          <w:rFonts w:ascii="Arial" w:hAnsi="Arial" w:cs="Arial"/>
          <w:iCs/>
        </w:rPr>
        <w:t xml:space="preserve">The planned use of </w:t>
      </w:r>
      <w:r w:rsidR="00F51E24" w:rsidRPr="005328FF">
        <w:rPr>
          <w:rFonts w:ascii="Arial" w:hAnsi="Arial" w:cs="Arial"/>
        </w:rPr>
        <w:t xml:space="preserve">SLFRF </w:t>
      </w:r>
      <w:r w:rsidRPr="005328FF">
        <w:rPr>
          <w:rFonts w:ascii="Arial" w:hAnsi="Arial" w:cs="Arial"/>
          <w:iCs/>
        </w:rPr>
        <w:t>funds by Alachua County does not include addressing infrastructure</w:t>
      </w:r>
      <w:r>
        <w:rPr>
          <w:rFonts w:ascii="Arial" w:hAnsi="Arial" w:cs="Arial"/>
          <w:iCs/>
        </w:rPr>
        <w:t xml:space="preserve"> needs. Funding to accomplish infrastructure needs for the </w:t>
      </w:r>
      <w:r w:rsidR="0002440A" w:rsidRPr="25781135">
        <w:rPr>
          <w:rFonts w:ascii="Arial" w:hAnsi="Arial" w:cs="Arial"/>
        </w:rPr>
        <w:t>CRS</w:t>
      </w:r>
      <w:r>
        <w:rPr>
          <w:rFonts w:ascii="Arial" w:hAnsi="Arial" w:cs="Arial"/>
          <w:iCs/>
        </w:rPr>
        <w:t xml:space="preserve"> has been identified by the County and the City of Gainesville, restricted for capital purposes only</w:t>
      </w:r>
      <w:r w:rsidR="004416A5">
        <w:rPr>
          <w:rFonts w:ascii="Arial" w:hAnsi="Arial" w:cs="Arial"/>
          <w:iCs/>
        </w:rPr>
        <w:t>.</w:t>
      </w:r>
      <w:r>
        <w:rPr>
          <w:rFonts w:ascii="Arial" w:hAnsi="Arial" w:cs="Arial"/>
          <w:iCs/>
        </w:rPr>
        <w:t xml:space="preserve"> </w:t>
      </w:r>
    </w:p>
    <w:p w14:paraId="2B66B705" w14:textId="6A9A8AD3" w:rsidR="00B732E7" w:rsidRPr="00BD6587" w:rsidRDefault="00BD6587" w:rsidP="001921E7">
      <w:pPr>
        <w:tabs>
          <w:tab w:val="left" w:pos="7050"/>
        </w:tabs>
        <w:jc w:val="both"/>
        <w:rPr>
          <w:rFonts w:ascii="Arial" w:hAnsi="Arial" w:cs="Arial"/>
          <w:i/>
          <w:iCs/>
        </w:rPr>
      </w:pPr>
      <w:r>
        <w:rPr>
          <w:rFonts w:ascii="Arial" w:hAnsi="Arial" w:cs="Arial"/>
          <w:b/>
        </w:rPr>
        <w:t>Use of Evidence</w:t>
      </w:r>
    </w:p>
    <w:p w14:paraId="5E5EFC2C" w14:textId="5B01311A" w:rsidR="00D67D8B" w:rsidRPr="00BD6587" w:rsidRDefault="00D67D8B" w:rsidP="001921E7">
      <w:pPr>
        <w:jc w:val="both"/>
        <w:rPr>
          <w:rFonts w:ascii="Arial" w:hAnsi="Arial" w:cs="Arial"/>
          <w:szCs w:val="24"/>
        </w:rPr>
      </w:pPr>
      <w:r w:rsidRPr="00BD6587">
        <w:rPr>
          <w:rFonts w:ascii="Arial" w:hAnsi="Arial" w:cs="Arial"/>
          <w:szCs w:val="24"/>
        </w:rPr>
        <w:t xml:space="preserve">The </w:t>
      </w:r>
      <w:r w:rsidR="0002440A">
        <w:rPr>
          <w:rFonts w:ascii="Arial" w:hAnsi="Arial" w:cs="Arial"/>
          <w:szCs w:val="24"/>
        </w:rPr>
        <w:t>CRS</w:t>
      </w:r>
      <w:r w:rsidRPr="00BD6587">
        <w:rPr>
          <w:rFonts w:ascii="Arial" w:hAnsi="Arial" w:cs="Arial"/>
          <w:szCs w:val="24"/>
        </w:rPr>
        <w:t xml:space="preserve"> Program to be implemented with the use of </w:t>
      </w:r>
      <w:r w:rsidR="002B3266" w:rsidRPr="0002072A">
        <w:rPr>
          <w:rFonts w:ascii="Arial" w:hAnsi="Arial" w:cs="Arial"/>
          <w:szCs w:val="24"/>
        </w:rPr>
        <w:t xml:space="preserve">SLFRF </w:t>
      </w:r>
      <w:r w:rsidRPr="00BD6587">
        <w:rPr>
          <w:rFonts w:ascii="Arial" w:hAnsi="Arial" w:cs="Arial"/>
          <w:szCs w:val="24"/>
        </w:rPr>
        <w:t xml:space="preserve">funds is firmly rooted in practices identified as priorities by Federal agencies concerned with Behavioral Health and Substance </w:t>
      </w:r>
      <w:r w:rsidR="00352219">
        <w:rPr>
          <w:rFonts w:ascii="Arial" w:hAnsi="Arial" w:cs="Arial"/>
          <w:szCs w:val="24"/>
        </w:rPr>
        <w:t>U</w:t>
      </w:r>
      <w:r w:rsidR="00F51E24">
        <w:rPr>
          <w:rFonts w:ascii="Arial" w:hAnsi="Arial" w:cs="Arial"/>
          <w:szCs w:val="24"/>
        </w:rPr>
        <w:t>se</w:t>
      </w:r>
      <w:r w:rsidR="00F51E24" w:rsidRPr="00BD6587">
        <w:rPr>
          <w:rFonts w:ascii="Arial" w:hAnsi="Arial" w:cs="Arial"/>
          <w:szCs w:val="24"/>
        </w:rPr>
        <w:t xml:space="preserve"> </w:t>
      </w:r>
      <w:r w:rsidRPr="00BD6587">
        <w:rPr>
          <w:rFonts w:ascii="Arial" w:hAnsi="Arial" w:cs="Arial"/>
          <w:szCs w:val="24"/>
        </w:rPr>
        <w:t xml:space="preserve">and model programs in this field, including best practices and evidence-based practices. According to SAMHSA’s </w:t>
      </w:r>
      <w:r w:rsidRPr="00BD6587">
        <w:rPr>
          <w:rFonts w:ascii="Arial" w:hAnsi="Arial" w:cs="Arial"/>
          <w:szCs w:val="24"/>
          <w:u w:val="single"/>
        </w:rPr>
        <w:t xml:space="preserve">National Guidelines for Behavioral Health Crisis Care: Best Practice </w:t>
      </w:r>
      <w:r w:rsidRPr="00BD6587">
        <w:rPr>
          <w:rFonts w:ascii="Arial" w:hAnsi="Arial" w:cs="Arial"/>
          <w:szCs w:val="24"/>
          <w:u w:val="single"/>
        </w:rPr>
        <w:lastRenderedPageBreak/>
        <w:t xml:space="preserve">Toolkit (2020), </w:t>
      </w:r>
      <w:r w:rsidRPr="00BD6587">
        <w:rPr>
          <w:rFonts w:ascii="Arial" w:hAnsi="Arial" w:cs="Arial"/>
          <w:szCs w:val="24"/>
        </w:rPr>
        <w:t xml:space="preserve">the expectations for best practices to operate crisis receiving and stabilization services (such as a </w:t>
      </w:r>
      <w:r w:rsidR="0002440A">
        <w:rPr>
          <w:rFonts w:ascii="Arial" w:hAnsi="Arial" w:cs="Arial"/>
          <w:szCs w:val="24"/>
        </w:rPr>
        <w:t>CRS</w:t>
      </w:r>
      <w:r w:rsidRPr="00BD6587">
        <w:rPr>
          <w:rFonts w:ascii="Arial" w:hAnsi="Arial" w:cs="Arial"/>
          <w:szCs w:val="24"/>
        </w:rPr>
        <w:t>) include:</w:t>
      </w:r>
    </w:p>
    <w:p w14:paraId="7CFD10ED" w14:textId="5497F8D5" w:rsidR="00D67D8B" w:rsidRPr="001921E7" w:rsidRDefault="00D67D8B" w:rsidP="001921E7">
      <w:pPr>
        <w:pStyle w:val="ListParagraph"/>
        <w:numPr>
          <w:ilvl w:val="0"/>
          <w:numId w:val="41"/>
        </w:numPr>
        <w:spacing w:line="360" w:lineRule="auto"/>
        <w:jc w:val="both"/>
        <w:rPr>
          <w:rFonts w:ascii="Arial" w:hAnsi="Arial" w:cs="Arial"/>
          <w:szCs w:val="24"/>
        </w:rPr>
      </w:pPr>
      <w:r w:rsidRPr="001921E7">
        <w:rPr>
          <w:rFonts w:ascii="Arial" w:hAnsi="Arial" w:cs="Arial"/>
          <w:szCs w:val="24"/>
        </w:rPr>
        <w:t>function as a 24</w:t>
      </w:r>
      <w:r w:rsidR="00352219">
        <w:rPr>
          <w:rFonts w:ascii="Arial" w:hAnsi="Arial" w:cs="Arial"/>
          <w:szCs w:val="24"/>
        </w:rPr>
        <w:t>-</w:t>
      </w:r>
      <w:r w:rsidRPr="001921E7">
        <w:rPr>
          <w:rFonts w:ascii="Arial" w:hAnsi="Arial" w:cs="Arial"/>
          <w:szCs w:val="24"/>
        </w:rPr>
        <w:t xml:space="preserve">hour or less crisis receiving and stabilization </w:t>
      </w:r>
      <w:proofErr w:type="gramStart"/>
      <w:r w:rsidRPr="001921E7">
        <w:rPr>
          <w:rFonts w:ascii="Arial" w:hAnsi="Arial" w:cs="Arial"/>
          <w:szCs w:val="24"/>
        </w:rPr>
        <w:t>facility;</w:t>
      </w:r>
      <w:proofErr w:type="gramEnd"/>
    </w:p>
    <w:p w14:paraId="137F5859" w14:textId="6531D6FF" w:rsidR="00D67D8B" w:rsidRPr="001921E7" w:rsidRDefault="00D67D8B" w:rsidP="001921E7">
      <w:pPr>
        <w:pStyle w:val="ListParagraph"/>
        <w:numPr>
          <w:ilvl w:val="0"/>
          <w:numId w:val="41"/>
        </w:numPr>
        <w:spacing w:line="360" w:lineRule="auto"/>
        <w:jc w:val="both"/>
        <w:rPr>
          <w:rFonts w:ascii="Arial" w:hAnsi="Arial" w:cs="Arial"/>
          <w:szCs w:val="24"/>
        </w:rPr>
      </w:pPr>
      <w:r w:rsidRPr="001921E7">
        <w:rPr>
          <w:rFonts w:ascii="Arial" w:hAnsi="Arial" w:cs="Arial"/>
          <w:szCs w:val="24"/>
        </w:rPr>
        <w:t xml:space="preserve">offer a dedicated first responder drop-off </w:t>
      </w:r>
      <w:proofErr w:type="gramStart"/>
      <w:r w:rsidRPr="001921E7">
        <w:rPr>
          <w:rFonts w:ascii="Arial" w:hAnsi="Arial" w:cs="Arial"/>
          <w:szCs w:val="24"/>
        </w:rPr>
        <w:t>area;</w:t>
      </w:r>
      <w:proofErr w:type="gramEnd"/>
    </w:p>
    <w:p w14:paraId="176D18BD" w14:textId="4411E9C0" w:rsidR="00D67D8B" w:rsidRPr="001921E7" w:rsidRDefault="00D67D8B" w:rsidP="001921E7">
      <w:pPr>
        <w:pStyle w:val="ListParagraph"/>
        <w:numPr>
          <w:ilvl w:val="0"/>
          <w:numId w:val="41"/>
        </w:numPr>
        <w:spacing w:line="360" w:lineRule="auto"/>
        <w:jc w:val="both"/>
        <w:rPr>
          <w:rFonts w:ascii="Arial" w:hAnsi="Arial" w:cs="Arial"/>
          <w:szCs w:val="24"/>
        </w:rPr>
      </w:pPr>
      <w:r w:rsidRPr="001921E7">
        <w:rPr>
          <w:rFonts w:ascii="Arial" w:hAnsi="Arial" w:cs="Arial"/>
          <w:szCs w:val="24"/>
        </w:rPr>
        <w:t xml:space="preserve">incorporate some form of intensive support beds into a partner program to support flow for individuals who need additional </w:t>
      </w:r>
      <w:proofErr w:type="gramStart"/>
      <w:r w:rsidRPr="001921E7">
        <w:rPr>
          <w:rFonts w:ascii="Arial" w:hAnsi="Arial" w:cs="Arial"/>
          <w:szCs w:val="24"/>
        </w:rPr>
        <w:t>support;</w:t>
      </w:r>
      <w:proofErr w:type="gramEnd"/>
    </w:p>
    <w:p w14:paraId="4F5ACC4C" w14:textId="7E4140EA" w:rsidR="00D67D8B" w:rsidRPr="001921E7" w:rsidRDefault="00D67D8B" w:rsidP="001921E7">
      <w:pPr>
        <w:pStyle w:val="ListParagraph"/>
        <w:numPr>
          <w:ilvl w:val="0"/>
          <w:numId w:val="41"/>
        </w:numPr>
        <w:spacing w:line="360" w:lineRule="auto"/>
        <w:jc w:val="both"/>
        <w:rPr>
          <w:rFonts w:ascii="Arial" w:hAnsi="Arial" w:cs="Arial"/>
          <w:szCs w:val="24"/>
        </w:rPr>
      </w:pPr>
      <w:r w:rsidRPr="001921E7">
        <w:rPr>
          <w:rFonts w:ascii="Arial" w:hAnsi="Arial" w:cs="Arial"/>
          <w:szCs w:val="24"/>
        </w:rPr>
        <w:t>include beds within the real-time registry system operated by the crisis call center hub to support efficient connection to needed resources; and,</w:t>
      </w:r>
    </w:p>
    <w:p w14:paraId="695C5DF1" w14:textId="28644CDE" w:rsidR="00D67D8B" w:rsidRPr="001921E7" w:rsidRDefault="00D67D8B" w:rsidP="001921E7">
      <w:pPr>
        <w:pStyle w:val="ListParagraph"/>
        <w:numPr>
          <w:ilvl w:val="0"/>
          <w:numId w:val="41"/>
        </w:numPr>
        <w:spacing w:line="360" w:lineRule="auto"/>
        <w:jc w:val="both"/>
        <w:rPr>
          <w:rFonts w:ascii="Arial" w:hAnsi="Arial" w:cs="Arial"/>
          <w:szCs w:val="24"/>
        </w:rPr>
      </w:pPr>
      <w:r w:rsidRPr="001921E7">
        <w:rPr>
          <w:rFonts w:ascii="Arial" w:hAnsi="Arial" w:cs="Arial"/>
          <w:szCs w:val="24"/>
        </w:rPr>
        <w:t xml:space="preserve">coordinate connection to ongoing care. </w:t>
      </w:r>
    </w:p>
    <w:p w14:paraId="178CDAB1" w14:textId="77777777" w:rsidR="00D67D8B" w:rsidRPr="00BD6587" w:rsidRDefault="00D67D8B" w:rsidP="001921E7">
      <w:pPr>
        <w:jc w:val="both"/>
        <w:rPr>
          <w:rFonts w:ascii="Arial" w:hAnsi="Arial" w:cs="Arial"/>
          <w:szCs w:val="24"/>
        </w:rPr>
      </w:pPr>
      <w:r w:rsidRPr="00BD6587">
        <w:rPr>
          <w:rFonts w:ascii="Arial" w:hAnsi="Arial" w:cs="Arial"/>
          <w:szCs w:val="24"/>
        </w:rPr>
        <w:t xml:space="preserve">The SAMHSA Best Practice Toolkit also identifies those minimum expectations necessary to operate a crisis receiving and stabilization service. Among other items, it articulates these fundamental expectations for such services: 1) to accept all referrals; 2) not require medical clearance prior to admission but rather assessment and support for medical stability while in the program; 3) to design services to address mental health and substance abuse crisis issues; 4)to be staffed at all times (24/7/365) with a multidisciplinary team capable of meeting all levels of crisis in the community; and 5) to offer walk-in and first responder drop-off options. </w:t>
      </w:r>
    </w:p>
    <w:p w14:paraId="7E5F5D66" w14:textId="77777777" w:rsidR="00F204D5" w:rsidRDefault="00D67D8B" w:rsidP="001921E7">
      <w:pPr>
        <w:jc w:val="both"/>
        <w:rPr>
          <w:rFonts w:ascii="Arial" w:hAnsi="Arial" w:cs="Arial"/>
          <w:szCs w:val="24"/>
        </w:rPr>
      </w:pPr>
      <w:r w:rsidRPr="00BD6587">
        <w:rPr>
          <w:rFonts w:ascii="Arial" w:hAnsi="Arial" w:cs="Arial"/>
          <w:szCs w:val="24"/>
        </w:rPr>
        <w:t xml:space="preserve">As envisioned by the Alachua County public-private partnership, the measures related to best practices outlined by SAMHSA correspond directly to the </w:t>
      </w:r>
      <w:r w:rsidR="0002440A">
        <w:rPr>
          <w:rFonts w:ascii="Arial" w:hAnsi="Arial" w:cs="Arial"/>
          <w:szCs w:val="24"/>
        </w:rPr>
        <w:t>CRS</w:t>
      </w:r>
      <w:r w:rsidRPr="00BD6587">
        <w:rPr>
          <w:rFonts w:ascii="Arial" w:hAnsi="Arial" w:cs="Arial"/>
          <w:szCs w:val="24"/>
        </w:rPr>
        <w:t xml:space="preserve"> planning process used to </w:t>
      </w:r>
      <w:r w:rsidR="006018A4" w:rsidRPr="00BD6587">
        <w:rPr>
          <w:rFonts w:ascii="Arial" w:hAnsi="Arial" w:cs="Arial"/>
          <w:szCs w:val="24"/>
        </w:rPr>
        <w:t>date and</w:t>
      </w:r>
      <w:r w:rsidRPr="00BD6587">
        <w:rPr>
          <w:rFonts w:ascii="Arial" w:hAnsi="Arial" w:cs="Arial"/>
          <w:szCs w:val="24"/>
        </w:rPr>
        <w:t xml:space="preserve"> undergird our own future development plans in this regard. The focus applied at the Federal level on Behavioral Health crisis care and the need for developing structured, appropriate response systems has also been adopted across many states, including Florida. </w:t>
      </w:r>
    </w:p>
    <w:p w14:paraId="6E889F02" w14:textId="13F6CE91" w:rsidR="00D67D8B" w:rsidRPr="00BD6587" w:rsidRDefault="00D67D8B" w:rsidP="001921E7">
      <w:pPr>
        <w:jc w:val="both"/>
        <w:rPr>
          <w:rFonts w:ascii="Arial" w:hAnsi="Arial" w:cs="Arial"/>
          <w:szCs w:val="24"/>
        </w:rPr>
      </w:pPr>
      <w:r w:rsidRPr="00BD6587">
        <w:rPr>
          <w:rFonts w:ascii="Arial" w:hAnsi="Arial" w:cs="Arial"/>
          <w:szCs w:val="24"/>
        </w:rPr>
        <w:t xml:space="preserve">In 2016, the Florida Legislature approved Senate Bill 12, which made far-reaching changes in behavioral health care, including crisis care and related transportation services. Senate Bill 12 identified in State law the “No Wrong Door” approach to be the model for the delivery of acute care services to persons who have </w:t>
      </w:r>
      <w:r w:rsidR="006018A4">
        <w:rPr>
          <w:rFonts w:ascii="Arial" w:hAnsi="Arial" w:cs="Arial"/>
          <w:szCs w:val="24"/>
        </w:rPr>
        <w:t>b</w:t>
      </w:r>
      <w:r w:rsidRPr="00BD6587">
        <w:rPr>
          <w:rFonts w:ascii="Arial" w:hAnsi="Arial" w:cs="Arial"/>
          <w:szCs w:val="24"/>
        </w:rPr>
        <w:t xml:space="preserve">ehavioral </w:t>
      </w:r>
      <w:r w:rsidR="006018A4">
        <w:rPr>
          <w:rFonts w:ascii="Arial" w:hAnsi="Arial" w:cs="Arial"/>
          <w:szCs w:val="24"/>
        </w:rPr>
        <w:t>h</w:t>
      </w:r>
      <w:r w:rsidRPr="00BD6587">
        <w:rPr>
          <w:rFonts w:ascii="Arial" w:hAnsi="Arial" w:cs="Arial"/>
          <w:szCs w:val="24"/>
        </w:rPr>
        <w:t>ealth</w:t>
      </w:r>
      <w:r w:rsidR="006018A4">
        <w:rPr>
          <w:rFonts w:ascii="Arial" w:hAnsi="Arial" w:cs="Arial"/>
          <w:szCs w:val="24"/>
        </w:rPr>
        <w:t xml:space="preserve">, </w:t>
      </w:r>
      <w:r w:rsidR="006018A4" w:rsidRPr="00BD6587">
        <w:rPr>
          <w:rFonts w:ascii="Arial" w:hAnsi="Arial" w:cs="Arial"/>
          <w:szCs w:val="24"/>
        </w:rPr>
        <w:t>substance use disorders</w:t>
      </w:r>
      <w:r w:rsidRPr="00BD6587">
        <w:rPr>
          <w:rFonts w:ascii="Arial" w:hAnsi="Arial" w:cs="Arial"/>
          <w:szCs w:val="24"/>
        </w:rPr>
        <w:t>, or co-occurring disorders. Using the No Wrong Door model and applying it for service expansion to this specialized population, the State’s Department of Children and Families moved forward to support expansion of models of CRS</w:t>
      </w:r>
      <w:r w:rsidR="006018A4">
        <w:rPr>
          <w:rFonts w:ascii="Arial" w:hAnsi="Arial" w:cs="Arial"/>
          <w:szCs w:val="24"/>
        </w:rPr>
        <w:t>’</w:t>
      </w:r>
      <w:r w:rsidRPr="00BD6587">
        <w:rPr>
          <w:rFonts w:ascii="Arial" w:hAnsi="Arial" w:cs="Arial"/>
          <w:szCs w:val="24"/>
        </w:rPr>
        <w:t xml:space="preserve"> throughout Florida, as previously identified in this report. The proposed </w:t>
      </w:r>
      <w:r w:rsidR="0002440A">
        <w:rPr>
          <w:rFonts w:ascii="Arial" w:hAnsi="Arial" w:cs="Arial"/>
          <w:szCs w:val="24"/>
        </w:rPr>
        <w:t xml:space="preserve">CRS </w:t>
      </w:r>
      <w:r w:rsidRPr="00BD6587">
        <w:rPr>
          <w:rFonts w:ascii="Arial" w:hAnsi="Arial" w:cs="Arial"/>
          <w:szCs w:val="24"/>
        </w:rPr>
        <w:t xml:space="preserve">model by Alachua County seeks to expand upon the platform already established in other areas of the State. In fact, we have used several of these now well-established </w:t>
      </w:r>
      <w:r w:rsidR="001B5241">
        <w:rPr>
          <w:rFonts w:ascii="Arial" w:hAnsi="Arial" w:cs="Arial"/>
          <w:szCs w:val="24"/>
        </w:rPr>
        <w:t>CRS</w:t>
      </w:r>
      <w:r w:rsidRPr="00BD6587">
        <w:rPr>
          <w:rFonts w:ascii="Arial" w:hAnsi="Arial" w:cs="Arial"/>
          <w:szCs w:val="24"/>
        </w:rPr>
        <w:t xml:space="preserve"> programs as examples for appropriate system development, firmly based on best practices which draw on evidence-based systems recognized by both Federal and State governments.</w:t>
      </w:r>
    </w:p>
    <w:p w14:paraId="0A4914BA" w14:textId="6E2C1941" w:rsidR="00D67D8B" w:rsidRDefault="00D67D8B" w:rsidP="001921E7">
      <w:pPr>
        <w:jc w:val="both"/>
        <w:rPr>
          <w:rFonts w:ascii="Arial" w:hAnsi="Arial" w:cs="Arial"/>
          <w:szCs w:val="24"/>
        </w:rPr>
      </w:pPr>
      <w:r w:rsidRPr="00BD6587">
        <w:rPr>
          <w:rFonts w:ascii="Arial" w:hAnsi="Arial" w:cs="Arial"/>
          <w:szCs w:val="24"/>
        </w:rPr>
        <w:t xml:space="preserve">During the past </w:t>
      </w:r>
      <w:r w:rsidR="006D1405">
        <w:rPr>
          <w:rFonts w:ascii="Arial" w:hAnsi="Arial" w:cs="Arial"/>
          <w:szCs w:val="24"/>
        </w:rPr>
        <w:t>four</w:t>
      </w:r>
      <w:r w:rsidR="006D1405" w:rsidRPr="00BD6587">
        <w:rPr>
          <w:rFonts w:ascii="Arial" w:hAnsi="Arial" w:cs="Arial"/>
          <w:szCs w:val="24"/>
        </w:rPr>
        <w:t xml:space="preserve"> </w:t>
      </w:r>
      <w:r w:rsidRPr="00BD6587">
        <w:rPr>
          <w:rFonts w:ascii="Arial" w:hAnsi="Arial" w:cs="Arial"/>
          <w:szCs w:val="24"/>
        </w:rPr>
        <w:t xml:space="preserve">years, Alachua County has received funding from the Bureau of Justice Assistance’s Justice and Mental Health Collaboration Grant Program. The second successive grant received is for three years and includes multiple objectives, which are identified as part of the Embedding a Clinician in Law Enforcement. One such objective includes evaluation and analysis of the local criminal justice and behavioral health systems, specifically targeted at program evaluation using a team of academic researchers affiliated with the University of Florida. The planned </w:t>
      </w:r>
      <w:r w:rsidR="001B5241">
        <w:rPr>
          <w:rFonts w:ascii="Arial" w:hAnsi="Arial" w:cs="Arial"/>
          <w:szCs w:val="24"/>
        </w:rPr>
        <w:t>CRS</w:t>
      </w:r>
      <w:r w:rsidRPr="00BD6587">
        <w:rPr>
          <w:rFonts w:ascii="Arial" w:hAnsi="Arial" w:cs="Arial"/>
          <w:szCs w:val="24"/>
        </w:rPr>
        <w:t xml:space="preserve"> Program meets the criteria for an evidence-based intervention. However, the opportunity exists to apply the skills and expertise developed by our research team for the purpose </w:t>
      </w:r>
      <w:r w:rsidRPr="00BD6587">
        <w:rPr>
          <w:rFonts w:ascii="Arial" w:hAnsi="Arial" w:cs="Arial"/>
          <w:szCs w:val="24"/>
        </w:rPr>
        <w:lastRenderedPageBreak/>
        <w:t xml:space="preserve">of examining and evaluating program intervention components encompassed during the implementation of the </w:t>
      </w:r>
      <w:r w:rsidR="001B5241">
        <w:rPr>
          <w:rFonts w:ascii="Arial" w:hAnsi="Arial" w:cs="Arial"/>
          <w:szCs w:val="24"/>
        </w:rPr>
        <w:t>CRS</w:t>
      </w:r>
      <w:r w:rsidRPr="00BD6587">
        <w:rPr>
          <w:rFonts w:ascii="Arial" w:hAnsi="Arial" w:cs="Arial"/>
          <w:szCs w:val="24"/>
        </w:rPr>
        <w:t>.</w:t>
      </w:r>
    </w:p>
    <w:p w14:paraId="2CD1B91E" w14:textId="5692E254" w:rsidR="00A3505B" w:rsidRPr="00BD6587" w:rsidRDefault="005B39FD" w:rsidP="001921E7">
      <w:pPr>
        <w:jc w:val="both"/>
        <w:rPr>
          <w:rFonts w:ascii="Arial" w:hAnsi="Arial" w:cs="Arial"/>
          <w:szCs w:val="24"/>
        </w:rPr>
      </w:pPr>
      <w:r>
        <w:rPr>
          <w:rFonts w:ascii="Arial" w:hAnsi="Arial" w:cs="Arial"/>
          <w:szCs w:val="24"/>
        </w:rPr>
        <w:t>In addition to</w:t>
      </w:r>
      <w:r w:rsidR="00A3505B">
        <w:rPr>
          <w:rFonts w:ascii="Arial" w:hAnsi="Arial" w:cs="Arial"/>
          <w:szCs w:val="24"/>
        </w:rPr>
        <w:t xml:space="preserve"> the SAMHSA Best Practices Toolkit, it will be necessary to ensure there are evidence-based practices implemented which relate directly to the achievement of more equitable outcomes for our communities. Discussion of this overarching goal for the use of SLFRF is addressed more fully in Section 9 below, </w:t>
      </w:r>
      <w:r w:rsidR="00A90EED">
        <w:rPr>
          <w:rFonts w:ascii="Arial" w:hAnsi="Arial" w:cs="Arial"/>
          <w:szCs w:val="24"/>
        </w:rPr>
        <w:t>with Performance Indicators to be achieved.</w:t>
      </w:r>
    </w:p>
    <w:p w14:paraId="0066EB36" w14:textId="69050B56" w:rsidR="00626DCA" w:rsidRPr="00277340" w:rsidRDefault="00B90454" w:rsidP="001921E7">
      <w:pPr>
        <w:tabs>
          <w:tab w:val="left" w:pos="7050"/>
        </w:tabs>
        <w:jc w:val="both"/>
        <w:rPr>
          <w:rFonts w:ascii="Arial" w:hAnsi="Arial" w:cs="Arial"/>
        </w:rPr>
      </w:pPr>
      <w:r w:rsidRPr="00277340">
        <w:rPr>
          <w:rFonts w:ascii="Arial" w:hAnsi="Arial" w:cs="Arial"/>
          <w:b/>
          <w:bCs/>
        </w:rPr>
        <w:t>Table of Expenses by Expenditure Category</w:t>
      </w:r>
    </w:p>
    <w:tbl>
      <w:tblPr>
        <w:tblStyle w:val="TableGrid"/>
        <w:tblW w:w="0" w:type="auto"/>
        <w:tblLook w:val="04A0" w:firstRow="1" w:lastRow="0" w:firstColumn="1" w:lastColumn="0" w:noHBand="0" w:noVBand="1"/>
      </w:tblPr>
      <w:tblGrid>
        <w:gridCol w:w="715"/>
        <w:gridCol w:w="4905"/>
        <w:gridCol w:w="1865"/>
        <w:gridCol w:w="1865"/>
      </w:tblGrid>
      <w:tr w:rsidR="00122ADE" w:rsidRPr="00D93090" w14:paraId="6DFC9421" w14:textId="77777777" w:rsidTr="00F366B0">
        <w:trPr>
          <w:trHeight w:val="348"/>
          <w:tblHeader/>
        </w:trPr>
        <w:tc>
          <w:tcPr>
            <w:tcW w:w="5620" w:type="dxa"/>
            <w:gridSpan w:val="2"/>
            <w:shd w:val="clear" w:color="auto" w:fill="002060"/>
            <w:noWrap/>
            <w:hideMark/>
          </w:tcPr>
          <w:p w14:paraId="737D5CD0" w14:textId="77777777" w:rsidR="00122ADE" w:rsidRPr="00F366B0" w:rsidRDefault="00122ADE" w:rsidP="001921E7">
            <w:pPr>
              <w:tabs>
                <w:tab w:val="left" w:pos="7050"/>
              </w:tabs>
              <w:jc w:val="both"/>
              <w:rPr>
                <w:rFonts w:ascii="Arial" w:hAnsi="Arial" w:cs="Arial"/>
                <w:b/>
                <w:bCs/>
              </w:rPr>
            </w:pPr>
            <w:r w:rsidRPr="00F366B0">
              <w:rPr>
                <w:rFonts w:ascii="Arial" w:hAnsi="Arial" w:cs="Arial"/>
                <w:b/>
                <w:bCs/>
              </w:rPr>
              <w:t>Category</w:t>
            </w:r>
          </w:p>
        </w:tc>
        <w:tc>
          <w:tcPr>
            <w:tcW w:w="1865" w:type="dxa"/>
            <w:shd w:val="clear" w:color="auto" w:fill="002060"/>
            <w:noWrap/>
            <w:hideMark/>
          </w:tcPr>
          <w:p w14:paraId="2B5E9093" w14:textId="608A0114" w:rsidR="00122ADE" w:rsidRPr="00F366B0" w:rsidRDefault="002740E9" w:rsidP="001921E7">
            <w:pPr>
              <w:tabs>
                <w:tab w:val="left" w:pos="7050"/>
              </w:tabs>
              <w:jc w:val="both"/>
              <w:rPr>
                <w:rFonts w:ascii="Arial" w:hAnsi="Arial" w:cs="Arial"/>
                <w:b/>
                <w:bCs/>
              </w:rPr>
            </w:pPr>
            <w:r w:rsidRPr="00F366B0">
              <w:rPr>
                <w:rFonts w:ascii="Arial" w:hAnsi="Arial" w:cs="Arial"/>
                <w:b/>
                <w:bCs/>
              </w:rPr>
              <w:t>Cumulative</w:t>
            </w:r>
            <w:r w:rsidR="00122ADE" w:rsidRPr="00F366B0">
              <w:rPr>
                <w:rFonts w:ascii="Arial" w:hAnsi="Arial" w:cs="Arial"/>
                <w:b/>
                <w:bCs/>
              </w:rPr>
              <w:t xml:space="preserve"> </w:t>
            </w:r>
            <w:r w:rsidR="001D12EF">
              <w:rPr>
                <w:rFonts w:ascii="Arial" w:hAnsi="Arial" w:cs="Arial"/>
                <w:b/>
                <w:bCs/>
              </w:rPr>
              <w:t>e</w:t>
            </w:r>
            <w:r w:rsidR="00146311">
              <w:rPr>
                <w:rFonts w:ascii="Arial" w:hAnsi="Arial" w:cs="Arial"/>
                <w:b/>
                <w:bCs/>
              </w:rPr>
              <w:t xml:space="preserve">xpenditures </w:t>
            </w:r>
            <w:r w:rsidR="00122ADE" w:rsidRPr="00F366B0">
              <w:rPr>
                <w:rFonts w:ascii="Arial" w:hAnsi="Arial" w:cs="Arial"/>
                <w:b/>
                <w:bCs/>
              </w:rPr>
              <w:t>to date</w:t>
            </w:r>
            <w:r w:rsidR="00BD3789" w:rsidRPr="00F366B0">
              <w:rPr>
                <w:rFonts w:ascii="Arial" w:hAnsi="Arial" w:cs="Arial"/>
                <w:b/>
                <w:bCs/>
              </w:rPr>
              <w:t xml:space="preserve"> ($)</w:t>
            </w:r>
          </w:p>
        </w:tc>
        <w:tc>
          <w:tcPr>
            <w:tcW w:w="1865" w:type="dxa"/>
            <w:shd w:val="clear" w:color="auto" w:fill="002060"/>
            <w:noWrap/>
            <w:hideMark/>
          </w:tcPr>
          <w:p w14:paraId="65DD185D" w14:textId="136CBBA3" w:rsidR="00122ADE" w:rsidRPr="00F366B0" w:rsidRDefault="001D12EF" w:rsidP="001921E7">
            <w:pPr>
              <w:tabs>
                <w:tab w:val="left" w:pos="7050"/>
              </w:tabs>
              <w:jc w:val="both"/>
              <w:rPr>
                <w:rFonts w:ascii="Arial" w:hAnsi="Arial" w:cs="Arial"/>
                <w:b/>
                <w:bCs/>
              </w:rPr>
            </w:pPr>
            <w:r>
              <w:rPr>
                <w:rFonts w:ascii="Arial" w:hAnsi="Arial" w:cs="Arial"/>
                <w:b/>
                <w:bCs/>
              </w:rPr>
              <w:t>Amount spent since last Recovery Plan</w:t>
            </w:r>
          </w:p>
        </w:tc>
      </w:tr>
      <w:tr w:rsidR="00C41C6C" w:rsidRPr="00D93090" w14:paraId="38085439" w14:textId="77777777" w:rsidTr="00F366B0">
        <w:trPr>
          <w:trHeight w:val="300"/>
        </w:trPr>
        <w:tc>
          <w:tcPr>
            <w:tcW w:w="715" w:type="dxa"/>
            <w:shd w:val="clear" w:color="auto" w:fill="D9D9D9" w:themeFill="background1" w:themeFillShade="D9"/>
            <w:noWrap/>
            <w:hideMark/>
          </w:tcPr>
          <w:p w14:paraId="0DCBA8DB" w14:textId="77777777" w:rsidR="00122ADE" w:rsidRPr="00F366B0" w:rsidRDefault="00122ADE" w:rsidP="001921E7">
            <w:pPr>
              <w:tabs>
                <w:tab w:val="left" w:pos="7050"/>
              </w:tabs>
              <w:jc w:val="both"/>
              <w:rPr>
                <w:rFonts w:ascii="Arial" w:hAnsi="Arial" w:cs="Arial"/>
              </w:rPr>
            </w:pPr>
            <w:r w:rsidRPr="00F366B0">
              <w:rPr>
                <w:rFonts w:ascii="Arial" w:hAnsi="Arial" w:cs="Arial"/>
              </w:rPr>
              <w:t>1</w:t>
            </w:r>
          </w:p>
        </w:tc>
        <w:tc>
          <w:tcPr>
            <w:tcW w:w="4905" w:type="dxa"/>
            <w:shd w:val="clear" w:color="auto" w:fill="D9D9D9" w:themeFill="background1" w:themeFillShade="D9"/>
            <w:noWrap/>
            <w:hideMark/>
          </w:tcPr>
          <w:p w14:paraId="59199E91" w14:textId="77777777" w:rsidR="00122ADE" w:rsidRPr="00F366B0" w:rsidRDefault="00122ADE" w:rsidP="001921E7">
            <w:pPr>
              <w:tabs>
                <w:tab w:val="left" w:pos="7050"/>
              </w:tabs>
              <w:jc w:val="both"/>
              <w:rPr>
                <w:rFonts w:ascii="Arial" w:hAnsi="Arial" w:cs="Arial"/>
              </w:rPr>
            </w:pPr>
            <w:r w:rsidRPr="00F366B0">
              <w:rPr>
                <w:rFonts w:ascii="Arial" w:hAnsi="Arial" w:cs="Arial"/>
              </w:rPr>
              <w:t>Expenditure Category: Public Health</w:t>
            </w:r>
          </w:p>
        </w:tc>
        <w:tc>
          <w:tcPr>
            <w:tcW w:w="1865" w:type="dxa"/>
            <w:shd w:val="clear" w:color="auto" w:fill="D9D9D9" w:themeFill="background1" w:themeFillShade="D9"/>
            <w:noWrap/>
            <w:hideMark/>
          </w:tcPr>
          <w:p w14:paraId="46E505AE" w14:textId="77777777" w:rsidR="00122ADE" w:rsidRPr="00F366B0" w:rsidRDefault="00122ADE" w:rsidP="001921E7">
            <w:pPr>
              <w:tabs>
                <w:tab w:val="left" w:pos="7050"/>
              </w:tabs>
              <w:jc w:val="both"/>
              <w:rPr>
                <w:rFonts w:ascii="Arial" w:hAnsi="Arial" w:cs="Arial"/>
              </w:rPr>
            </w:pPr>
            <w:r w:rsidRPr="00F366B0">
              <w:rPr>
                <w:rFonts w:ascii="Arial" w:hAnsi="Arial" w:cs="Arial"/>
              </w:rPr>
              <w:t> </w:t>
            </w:r>
          </w:p>
        </w:tc>
        <w:tc>
          <w:tcPr>
            <w:tcW w:w="1865" w:type="dxa"/>
            <w:shd w:val="clear" w:color="auto" w:fill="D9D9D9" w:themeFill="background1" w:themeFillShade="D9"/>
            <w:noWrap/>
            <w:hideMark/>
          </w:tcPr>
          <w:p w14:paraId="5B17B85B" w14:textId="77777777" w:rsidR="00122ADE" w:rsidRPr="00F366B0" w:rsidRDefault="00122ADE" w:rsidP="001921E7">
            <w:pPr>
              <w:tabs>
                <w:tab w:val="left" w:pos="7050"/>
              </w:tabs>
              <w:jc w:val="both"/>
              <w:rPr>
                <w:rFonts w:ascii="Arial" w:hAnsi="Arial" w:cs="Arial"/>
              </w:rPr>
            </w:pPr>
            <w:r w:rsidRPr="00F366B0">
              <w:rPr>
                <w:rFonts w:ascii="Arial" w:hAnsi="Arial" w:cs="Arial"/>
              </w:rPr>
              <w:t> </w:t>
            </w:r>
          </w:p>
        </w:tc>
      </w:tr>
      <w:tr w:rsidR="00122ADE" w:rsidRPr="00D93090" w14:paraId="31A29293" w14:textId="77777777" w:rsidTr="002740E9">
        <w:trPr>
          <w:trHeight w:val="300"/>
        </w:trPr>
        <w:tc>
          <w:tcPr>
            <w:tcW w:w="715" w:type="dxa"/>
            <w:noWrap/>
            <w:hideMark/>
          </w:tcPr>
          <w:p w14:paraId="5ADD4B0D" w14:textId="77777777" w:rsidR="00122ADE" w:rsidRPr="00F366B0" w:rsidRDefault="00122ADE" w:rsidP="001921E7">
            <w:pPr>
              <w:tabs>
                <w:tab w:val="left" w:pos="7050"/>
              </w:tabs>
              <w:jc w:val="both"/>
              <w:rPr>
                <w:rFonts w:ascii="Arial" w:hAnsi="Arial" w:cs="Arial"/>
              </w:rPr>
            </w:pPr>
            <w:r w:rsidRPr="00F366B0">
              <w:rPr>
                <w:rFonts w:ascii="Arial" w:hAnsi="Arial" w:cs="Arial"/>
              </w:rPr>
              <w:t>1.10</w:t>
            </w:r>
          </w:p>
        </w:tc>
        <w:tc>
          <w:tcPr>
            <w:tcW w:w="4905" w:type="dxa"/>
            <w:noWrap/>
            <w:hideMark/>
          </w:tcPr>
          <w:p w14:paraId="76950A82" w14:textId="77777777" w:rsidR="00122ADE" w:rsidRPr="00F366B0" w:rsidRDefault="00122ADE" w:rsidP="001921E7">
            <w:pPr>
              <w:tabs>
                <w:tab w:val="left" w:pos="7050"/>
              </w:tabs>
              <w:jc w:val="both"/>
              <w:rPr>
                <w:rFonts w:ascii="Arial" w:hAnsi="Arial" w:cs="Arial"/>
              </w:rPr>
            </w:pPr>
            <w:r w:rsidRPr="00F366B0">
              <w:rPr>
                <w:rFonts w:ascii="Arial" w:hAnsi="Arial" w:cs="Arial"/>
              </w:rPr>
              <w:t>Mental Health Services</w:t>
            </w:r>
          </w:p>
        </w:tc>
        <w:tc>
          <w:tcPr>
            <w:tcW w:w="1865" w:type="dxa"/>
            <w:noWrap/>
            <w:hideMark/>
          </w:tcPr>
          <w:p w14:paraId="4EC126CB" w14:textId="75B08B99" w:rsidR="00122ADE" w:rsidRPr="00F366B0" w:rsidRDefault="005F07A7" w:rsidP="001921E7">
            <w:pPr>
              <w:tabs>
                <w:tab w:val="left" w:pos="7050"/>
              </w:tabs>
              <w:jc w:val="both"/>
              <w:rPr>
                <w:rFonts w:ascii="Arial" w:hAnsi="Arial" w:cs="Arial"/>
              </w:rPr>
            </w:pPr>
            <w:r>
              <w:rPr>
                <w:rFonts w:ascii="Arial" w:hAnsi="Arial" w:cs="Arial"/>
              </w:rPr>
              <w:t>$0</w:t>
            </w:r>
          </w:p>
        </w:tc>
        <w:tc>
          <w:tcPr>
            <w:tcW w:w="1865" w:type="dxa"/>
            <w:noWrap/>
            <w:hideMark/>
          </w:tcPr>
          <w:p w14:paraId="62FA2677" w14:textId="58E329AF" w:rsidR="00122ADE" w:rsidRPr="00F366B0" w:rsidRDefault="005F07A7" w:rsidP="001921E7">
            <w:pPr>
              <w:tabs>
                <w:tab w:val="left" w:pos="7050"/>
              </w:tabs>
              <w:jc w:val="both"/>
              <w:rPr>
                <w:rFonts w:ascii="Arial" w:hAnsi="Arial" w:cs="Arial"/>
              </w:rPr>
            </w:pPr>
            <w:r>
              <w:rPr>
                <w:rFonts w:ascii="Arial" w:hAnsi="Arial" w:cs="Arial"/>
              </w:rPr>
              <w:t>$0</w:t>
            </w:r>
          </w:p>
        </w:tc>
      </w:tr>
      <w:tr w:rsidR="00122ADE" w:rsidRPr="00D93090" w14:paraId="6383F8D1" w14:textId="77777777" w:rsidTr="002740E9">
        <w:trPr>
          <w:trHeight w:val="300"/>
        </w:trPr>
        <w:tc>
          <w:tcPr>
            <w:tcW w:w="715" w:type="dxa"/>
            <w:noWrap/>
            <w:hideMark/>
          </w:tcPr>
          <w:p w14:paraId="44DDE818" w14:textId="77777777" w:rsidR="00122ADE" w:rsidRPr="00F366B0" w:rsidRDefault="00122ADE" w:rsidP="001921E7">
            <w:pPr>
              <w:tabs>
                <w:tab w:val="left" w:pos="7050"/>
              </w:tabs>
              <w:jc w:val="both"/>
              <w:rPr>
                <w:rFonts w:ascii="Arial" w:hAnsi="Arial" w:cs="Arial"/>
              </w:rPr>
            </w:pPr>
            <w:r w:rsidRPr="00F366B0">
              <w:rPr>
                <w:rFonts w:ascii="Arial" w:hAnsi="Arial" w:cs="Arial"/>
              </w:rPr>
              <w:t>1.11</w:t>
            </w:r>
          </w:p>
        </w:tc>
        <w:tc>
          <w:tcPr>
            <w:tcW w:w="4905" w:type="dxa"/>
            <w:noWrap/>
            <w:hideMark/>
          </w:tcPr>
          <w:p w14:paraId="101DC0A1" w14:textId="77777777" w:rsidR="00122ADE" w:rsidRPr="00F366B0" w:rsidRDefault="00122ADE" w:rsidP="001921E7">
            <w:pPr>
              <w:tabs>
                <w:tab w:val="left" w:pos="7050"/>
              </w:tabs>
              <w:jc w:val="both"/>
              <w:rPr>
                <w:rFonts w:ascii="Arial" w:hAnsi="Arial" w:cs="Arial"/>
              </w:rPr>
            </w:pPr>
            <w:r w:rsidRPr="00F366B0">
              <w:rPr>
                <w:rFonts w:ascii="Arial" w:hAnsi="Arial" w:cs="Arial"/>
              </w:rPr>
              <w:t>Substance Use Services</w:t>
            </w:r>
          </w:p>
        </w:tc>
        <w:tc>
          <w:tcPr>
            <w:tcW w:w="1865" w:type="dxa"/>
            <w:noWrap/>
            <w:hideMark/>
          </w:tcPr>
          <w:p w14:paraId="6073A725" w14:textId="2FF5EBCE" w:rsidR="00122ADE" w:rsidRPr="00F366B0" w:rsidRDefault="002E7250" w:rsidP="001921E7">
            <w:pPr>
              <w:tabs>
                <w:tab w:val="left" w:pos="7050"/>
              </w:tabs>
              <w:jc w:val="both"/>
              <w:rPr>
                <w:rFonts w:ascii="Arial" w:hAnsi="Arial" w:cs="Arial"/>
              </w:rPr>
            </w:pPr>
            <w:r>
              <w:rPr>
                <w:rFonts w:ascii="Arial" w:hAnsi="Arial" w:cs="Arial"/>
              </w:rPr>
              <w:t>$</w:t>
            </w:r>
            <w:r w:rsidR="005F07A7">
              <w:rPr>
                <w:rFonts w:ascii="Arial" w:hAnsi="Arial" w:cs="Arial"/>
              </w:rPr>
              <w:t>0</w:t>
            </w:r>
          </w:p>
        </w:tc>
        <w:tc>
          <w:tcPr>
            <w:tcW w:w="1865" w:type="dxa"/>
            <w:noWrap/>
            <w:hideMark/>
          </w:tcPr>
          <w:p w14:paraId="4FE01B4B" w14:textId="25A38511" w:rsidR="00122ADE" w:rsidRPr="00F366B0" w:rsidRDefault="005F07A7" w:rsidP="001921E7">
            <w:pPr>
              <w:tabs>
                <w:tab w:val="left" w:pos="7050"/>
              </w:tabs>
              <w:jc w:val="both"/>
              <w:rPr>
                <w:rFonts w:ascii="Arial" w:hAnsi="Arial" w:cs="Arial"/>
              </w:rPr>
            </w:pPr>
            <w:r>
              <w:rPr>
                <w:rFonts w:ascii="Arial" w:hAnsi="Arial" w:cs="Arial"/>
              </w:rPr>
              <w:t>$0</w:t>
            </w:r>
          </w:p>
        </w:tc>
      </w:tr>
    </w:tbl>
    <w:p w14:paraId="450C5FDD" w14:textId="77777777" w:rsidR="003E4AC8" w:rsidRDefault="003E4AC8" w:rsidP="001921E7">
      <w:pPr>
        <w:jc w:val="both"/>
        <w:rPr>
          <w:rFonts w:ascii="Arial" w:hAnsi="Arial" w:cs="Arial"/>
          <w:b/>
          <w:color w:val="44546A" w:themeColor="text2"/>
        </w:rPr>
      </w:pPr>
    </w:p>
    <w:p w14:paraId="4F46A42E" w14:textId="1FDA257C" w:rsidR="00195853" w:rsidRPr="00812058" w:rsidRDefault="0068053D" w:rsidP="001921E7">
      <w:pPr>
        <w:jc w:val="both"/>
        <w:rPr>
          <w:rFonts w:ascii="Arial" w:hAnsi="Arial" w:cs="Arial"/>
          <w:b/>
          <w:color w:val="44546A" w:themeColor="text2"/>
        </w:rPr>
      </w:pPr>
      <w:r w:rsidRPr="00DA7ACA">
        <w:rPr>
          <w:rFonts w:ascii="Arial" w:hAnsi="Arial" w:cs="Arial"/>
          <w:b/>
          <w:color w:val="000000" w:themeColor="text1"/>
        </w:rPr>
        <w:t>P</w:t>
      </w:r>
      <w:r w:rsidR="001E2186" w:rsidRPr="00DA7ACA">
        <w:rPr>
          <w:rFonts w:ascii="Arial" w:hAnsi="Arial" w:cs="Arial"/>
          <w:b/>
          <w:color w:val="000000" w:themeColor="text1"/>
        </w:rPr>
        <w:t>roject Inventory</w:t>
      </w:r>
      <w:r w:rsidR="001E2186" w:rsidRPr="00812058">
        <w:rPr>
          <w:rFonts w:ascii="Arial" w:hAnsi="Arial" w:cs="Arial"/>
          <w:b/>
          <w:color w:val="44546A" w:themeColor="text2"/>
        </w:rPr>
        <w:t xml:space="preserve"> </w:t>
      </w:r>
    </w:p>
    <w:p w14:paraId="520216D7" w14:textId="3F86F1AF" w:rsidR="00363C09" w:rsidRDefault="00363C09" w:rsidP="001921E7">
      <w:pPr>
        <w:pStyle w:val="ListParagraph"/>
        <w:tabs>
          <w:tab w:val="left" w:pos="7050"/>
        </w:tabs>
        <w:ind w:left="360"/>
        <w:jc w:val="both"/>
        <w:rPr>
          <w:rFonts w:ascii="Arial" w:hAnsi="Arial" w:cs="Arial"/>
          <w:u w:val="single"/>
        </w:rPr>
      </w:pPr>
      <w:bookmarkStart w:id="1" w:name="_Hlk77838744"/>
      <w:bookmarkStart w:id="2" w:name="_Hlk77695112"/>
      <w:r w:rsidRPr="00661917">
        <w:rPr>
          <w:rFonts w:ascii="Arial" w:hAnsi="Arial" w:cs="Arial"/>
          <w:u w:val="single"/>
        </w:rPr>
        <w:t xml:space="preserve">Project </w:t>
      </w:r>
      <w:r>
        <w:rPr>
          <w:rFonts w:ascii="Arial" w:hAnsi="Arial" w:cs="Arial"/>
          <w:u w:val="single"/>
        </w:rPr>
        <w:t>[Identification Number]</w:t>
      </w:r>
      <w:r w:rsidR="000045FB">
        <w:rPr>
          <w:rFonts w:ascii="Arial" w:hAnsi="Arial" w:cs="Arial"/>
        </w:rPr>
        <w:t xml:space="preserve">: </w:t>
      </w:r>
      <w:r w:rsidR="002B3ECF">
        <w:rPr>
          <w:rFonts w:ascii="Arial" w:hAnsi="Arial" w:cs="Arial"/>
        </w:rPr>
        <w:t xml:space="preserve">The Alachua County Central Receiving </w:t>
      </w:r>
      <w:r w:rsidR="00A92378">
        <w:rPr>
          <w:rFonts w:ascii="Arial" w:hAnsi="Arial" w:cs="Arial"/>
        </w:rPr>
        <w:t xml:space="preserve">System </w:t>
      </w:r>
      <w:r w:rsidR="002B3ECF">
        <w:rPr>
          <w:rFonts w:ascii="Arial" w:hAnsi="Arial" w:cs="Arial"/>
        </w:rPr>
        <w:t>Program</w:t>
      </w:r>
    </w:p>
    <w:p w14:paraId="6BE51D13" w14:textId="77777777" w:rsidR="000045FB" w:rsidRDefault="000045FB" w:rsidP="001921E7">
      <w:pPr>
        <w:pStyle w:val="ListParagraph"/>
        <w:tabs>
          <w:tab w:val="left" w:pos="7050"/>
        </w:tabs>
        <w:ind w:left="360"/>
        <w:jc w:val="both"/>
        <w:rPr>
          <w:rFonts w:ascii="Arial" w:hAnsi="Arial" w:cs="Arial"/>
          <w:u w:val="single"/>
        </w:rPr>
      </w:pPr>
    </w:p>
    <w:p w14:paraId="2E13B91C" w14:textId="02D460F2" w:rsidR="00363C09" w:rsidRDefault="00363C09" w:rsidP="001921E7">
      <w:pPr>
        <w:pStyle w:val="ListParagraph"/>
        <w:tabs>
          <w:tab w:val="left" w:pos="7050"/>
        </w:tabs>
        <w:ind w:left="360"/>
        <w:jc w:val="both"/>
        <w:rPr>
          <w:rFonts w:ascii="Arial" w:hAnsi="Arial" w:cs="Arial"/>
        </w:rPr>
      </w:pPr>
      <w:r>
        <w:rPr>
          <w:rFonts w:ascii="Arial" w:hAnsi="Arial" w:cs="Arial"/>
          <w:u w:val="single"/>
        </w:rPr>
        <w:t>Funding amount</w:t>
      </w:r>
      <w:r w:rsidR="000045FB">
        <w:rPr>
          <w:rFonts w:ascii="Arial" w:hAnsi="Arial" w:cs="Arial"/>
        </w:rPr>
        <w:t xml:space="preserve">: </w:t>
      </w:r>
      <w:r w:rsidR="002B3ECF">
        <w:rPr>
          <w:rFonts w:ascii="Arial" w:hAnsi="Arial" w:cs="Arial"/>
        </w:rPr>
        <w:t>$1</w:t>
      </w:r>
      <w:r w:rsidR="006018A4">
        <w:rPr>
          <w:rFonts w:ascii="Arial" w:hAnsi="Arial" w:cs="Arial"/>
        </w:rPr>
        <w:t>,</w:t>
      </w:r>
      <w:r w:rsidR="00993BDB">
        <w:rPr>
          <w:rFonts w:ascii="Arial" w:hAnsi="Arial" w:cs="Arial"/>
        </w:rPr>
        <w:t>7</w:t>
      </w:r>
      <w:r w:rsidR="002B3ECF">
        <w:rPr>
          <w:rFonts w:ascii="Arial" w:hAnsi="Arial" w:cs="Arial"/>
        </w:rPr>
        <w:t>5</w:t>
      </w:r>
      <w:r w:rsidR="006018A4">
        <w:rPr>
          <w:rFonts w:ascii="Arial" w:hAnsi="Arial" w:cs="Arial"/>
        </w:rPr>
        <w:t>0,000.00</w:t>
      </w:r>
      <w:r w:rsidR="002B3ECF">
        <w:rPr>
          <w:rFonts w:ascii="Arial" w:hAnsi="Arial" w:cs="Arial"/>
        </w:rPr>
        <w:t xml:space="preserve"> </w:t>
      </w:r>
      <w:r w:rsidR="006018A4">
        <w:rPr>
          <w:rFonts w:ascii="Arial" w:hAnsi="Arial" w:cs="Arial"/>
        </w:rPr>
        <w:t xml:space="preserve">for </w:t>
      </w:r>
      <w:r w:rsidR="009B6E46">
        <w:rPr>
          <w:rFonts w:ascii="Arial" w:hAnsi="Arial" w:cs="Arial"/>
        </w:rPr>
        <w:t>Operations</w:t>
      </w:r>
      <w:r w:rsidR="008B5DFF">
        <w:rPr>
          <w:rFonts w:ascii="Arial" w:hAnsi="Arial" w:cs="Arial"/>
        </w:rPr>
        <w:t xml:space="preserve"> </w:t>
      </w:r>
    </w:p>
    <w:p w14:paraId="1DC47233" w14:textId="77777777" w:rsidR="008B5DFF" w:rsidRDefault="008B5DFF" w:rsidP="001921E7">
      <w:pPr>
        <w:pStyle w:val="ListParagraph"/>
        <w:tabs>
          <w:tab w:val="left" w:pos="7050"/>
        </w:tabs>
        <w:ind w:left="360"/>
        <w:jc w:val="both"/>
        <w:rPr>
          <w:rFonts w:ascii="Arial" w:hAnsi="Arial" w:cs="Arial"/>
          <w:u w:val="single"/>
        </w:rPr>
      </w:pPr>
    </w:p>
    <w:p w14:paraId="1FB13828" w14:textId="7E51A8C4" w:rsidR="00F84074" w:rsidRDefault="00F84074" w:rsidP="001921E7">
      <w:pPr>
        <w:pStyle w:val="ListParagraph"/>
        <w:tabs>
          <w:tab w:val="left" w:pos="7050"/>
        </w:tabs>
        <w:ind w:left="360"/>
        <w:jc w:val="both"/>
        <w:rPr>
          <w:rFonts w:ascii="Arial" w:hAnsi="Arial" w:cs="Arial"/>
          <w:u w:val="single"/>
        </w:rPr>
      </w:pPr>
      <w:r>
        <w:rPr>
          <w:rFonts w:ascii="Arial" w:hAnsi="Arial" w:cs="Arial"/>
          <w:u w:val="single"/>
        </w:rPr>
        <w:t>Project Expenditure Category</w:t>
      </w:r>
      <w:r w:rsidRPr="00661917">
        <w:rPr>
          <w:rFonts w:ascii="Arial" w:hAnsi="Arial" w:cs="Arial"/>
        </w:rPr>
        <w:t>:</w:t>
      </w:r>
      <w:r w:rsidR="000045FB">
        <w:rPr>
          <w:rFonts w:ascii="Arial" w:hAnsi="Arial" w:cs="Arial"/>
        </w:rPr>
        <w:t xml:space="preserve"> </w:t>
      </w:r>
      <w:r w:rsidR="002B3ECF">
        <w:rPr>
          <w:rFonts w:ascii="Arial" w:hAnsi="Arial" w:cs="Arial"/>
        </w:rPr>
        <w:t>EC1: Public Health: Mental Health Services 1.10 &amp; Substance Use Services 1.11</w:t>
      </w:r>
    </w:p>
    <w:bookmarkEnd w:id="1"/>
    <w:p w14:paraId="14803338" w14:textId="77777777" w:rsidR="00F84074" w:rsidRPr="00661917" w:rsidRDefault="00F84074" w:rsidP="001921E7">
      <w:pPr>
        <w:pStyle w:val="ListParagraph"/>
        <w:tabs>
          <w:tab w:val="left" w:pos="7050"/>
        </w:tabs>
        <w:ind w:left="360"/>
        <w:jc w:val="both"/>
        <w:rPr>
          <w:rFonts w:ascii="Arial" w:hAnsi="Arial" w:cs="Arial"/>
          <w:u w:val="single"/>
        </w:rPr>
      </w:pPr>
    </w:p>
    <w:bookmarkEnd w:id="2"/>
    <w:p w14:paraId="573A51B1" w14:textId="1704CF81" w:rsidR="000045FB" w:rsidRPr="00DA7ACA" w:rsidRDefault="000045FB" w:rsidP="005E46BD">
      <w:pPr>
        <w:jc w:val="both"/>
        <w:rPr>
          <w:rFonts w:ascii="Arial" w:hAnsi="Arial" w:cs="Arial"/>
          <w:b/>
          <w:color w:val="000000" w:themeColor="text1"/>
        </w:rPr>
      </w:pPr>
      <w:r w:rsidRPr="00DA7ACA">
        <w:rPr>
          <w:rFonts w:ascii="Arial" w:hAnsi="Arial" w:cs="Arial"/>
          <w:b/>
          <w:color w:val="000000" w:themeColor="text1"/>
        </w:rPr>
        <w:t>Performance Report</w:t>
      </w:r>
    </w:p>
    <w:p w14:paraId="69F54110" w14:textId="1FCEC97B" w:rsidR="00A66724" w:rsidRPr="000045FB" w:rsidRDefault="00A66724" w:rsidP="001921E7">
      <w:pPr>
        <w:jc w:val="both"/>
        <w:rPr>
          <w:rFonts w:ascii="Arial" w:hAnsi="Arial" w:cs="Arial"/>
          <w:szCs w:val="24"/>
        </w:rPr>
      </w:pPr>
      <w:r w:rsidRPr="000045FB">
        <w:rPr>
          <w:rFonts w:ascii="Arial" w:hAnsi="Arial" w:cs="Arial"/>
          <w:szCs w:val="24"/>
        </w:rPr>
        <w:t xml:space="preserve">The </w:t>
      </w:r>
      <w:r w:rsidRPr="00F204D5">
        <w:rPr>
          <w:rFonts w:ascii="Arial" w:hAnsi="Arial" w:cs="Arial"/>
          <w:bCs/>
          <w:szCs w:val="24"/>
        </w:rPr>
        <w:t>key performance indicators</w:t>
      </w:r>
      <w:r w:rsidRPr="000045FB">
        <w:rPr>
          <w:rFonts w:ascii="Arial" w:hAnsi="Arial" w:cs="Arial"/>
          <w:szCs w:val="24"/>
        </w:rPr>
        <w:t xml:space="preserve"> for the</w:t>
      </w:r>
      <w:r w:rsidR="00545584">
        <w:rPr>
          <w:rFonts w:ascii="Arial" w:hAnsi="Arial" w:cs="Arial"/>
          <w:szCs w:val="24"/>
        </w:rPr>
        <w:t xml:space="preserve"> </w:t>
      </w:r>
      <w:r w:rsidR="001B5241">
        <w:rPr>
          <w:rFonts w:ascii="Arial" w:hAnsi="Arial" w:cs="Arial"/>
          <w:szCs w:val="24"/>
        </w:rPr>
        <w:t>CRS</w:t>
      </w:r>
      <w:r w:rsidR="00545584">
        <w:rPr>
          <w:rFonts w:ascii="Arial" w:hAnsi="Arial" w:cs="Arial"/>
          <w:szCs w:val="24"/>
        </w:rPr>
        <w:t xml:space="preserve"> Program which are </w:t>
      </w:r>
      <w:r w:rsidRPr="000045FB">
        <w:rPr>
          <w:rFonts w:ascii="Arial" w:hAnsi="Arial" w:cs="Arial"/>
          <w:szCs w:val="24"/>
        </w:rPr>
        <w:t>proposed for Alachua County are based upon designated measures included in the “</w:t>
      </w:r>
      <w:r w:rsidRPr="000045FB">
        <w:rPr>
          <w:rFonts w:ascii="Arial" w:hAnsi="Arial" w:cs="Arial"/>
          <w:szCs w:val="24"/>
          <w:u w:val="single"/>
        </w:rPr>
        <w:t xml:space="preserve">National Guidelines for Behavioral Health Crisis Care: A Best Practice Toolkit” </w:t>
      </w:r>
      <w:r w:rsidRPr="000045FB">
        <w:rPr>
          <w:rFonts w:ascii="Arial" w:hAnsi="Arial" w:cs="Arial"/>
          <w:szCs w:val="24"/>
        </w:rPr>
        <w:t>– and</w:t>
      </w:r>
      <w:r w:rsidR="00377B59">
        <w:rPr>
          <w:rFonts w:ascii="Arial" w:hAnsi="Arial" w:cs="Arial"/>
          <w:szCs w:val="24"/>
        </w:rPr>
        <w:t xml:space="preserve"> specifically</w:t>
      </w:r>
      <w:r w:rsidRPr="000045FB">
        <w:rPr>
          <w:rFonts w:ascii="Arial" w:hAnsi="Arial" w:cs="Arial"/>
          <w:szCs w:val="24"/>
        </w:rPr>
        <w:t xml:space="preserve"> targeted to Crisis Receiving and Stabilization Services. These indicators have been used </w:t>
      </w:r>
      <w:r w:rsidR="00377B59">
        <w:rPr>
          <w:rFonts w:ascii="Arial" w:hAnsi="Arial" w:cs="Arial"/>
          <w:szCs w:val="24"/>
        </w:rPr>
        <w:t xml:space="preserve">successfully </w:t>
      </w:r>
      <w:r w:rsidRPr="000045FB">
        <w:rPr>
          <w:rFonts w:ascii="Arial" w:hAnsi="Arial" w:cs="Arial"/>
          <w:szCs w:val="24"/>
        </w:rPr>
        <w:t xml:space="preserve">by communities which are attempting </w:t>
      </w:r>
      <w:r w:rsidR="004416A5" w:rsidRPr="000045FB">
        <w:rPr>
          <w:rFonts w:ascii="Arial" w:hAnsi="Arial" w:cs="Arial"/>
          <w:szCs w:val="24"/>
        </w:rPr>
        <w:t xml:space="preserve">to </w:t>
      </w:r>
      <w:r w:rsidR="004416A5">
        <w:rPr>
          <w:rFonts w:ascii="Arial" w:hAnsi="Arial" w:cs="Arial"/>
          <w:szCs w:val="24"/>
        </w:rPr>
        <w:t>monitor</w:t>
      </w:r>
      <w:r w:rsidR="00545584">
        <w:rPr>
          <w:rFonts w:ascii="Arial" w:hAnsi="Arial" w:cs="Arial"/>
          <w:szCs w:val="24"/>
        </w:rPr>
        <w:t xml:space="preserve"> and </w:t>
      </w:r>
      <w:r w:rsidRPr="000045FB">
        <w:rPr>
          <w:rFonts w:ascii="Arial" w:hAnsi="Arial" w:cs="Arial"/>
          <w:szCs w:val="24"/>
        </w:rPr>
        <w:t>improve quality in such programming on a continuous basis. The key performance indicators selected</w:t>
      </w:r>
      <w:r w:rsidR="00053FDC">
        <w:rPr>
          <w:rFonts w:ascii="Arial" w:hAnsi="Arial" w:cs="Arial"/>
          <w:szCs w:val="24"/>
        </w:rPr>
        <w:t xml:space="preserve"> for the CRS when it is operational</w:t>
      </w:r>
      <w:r w:rsidRPr="000045FB">
        <w:rPr>
          <w:rFonts w:ascii="Arial" w:hAnsi="Arial" w:cs="Arial"/>
          <w:szCs w:val="24"/>
        </w:rPr>
        <w:t xml:space="preserve"> are:</w:t>
      </w:r>
    </w:p>
    <w:p w14:paraId="00CDFA41" w14:textId="1BBE3DB9" w:rsidR="00A66724" w:rsidRPr="001921E7" w:rsidRDefault="00A66724" w:rsidP="001921E7">
      <w:pPr>
        <w:pStyle w:val="ListParagraph"/>
        <w:numPr>
          <w:ilvl w:val="0"/>
          <w:numId w:val="43"/>
        </w:numPr>
        <w:spacing w:line="360" w:lineRule="auto"/>
        <w:jc w:val="both"/>
        <w:rPr>
          <w:rFonts w:ascii="Arial" w:hAnsi="Arial" w:cs="Arial"/>
          <w:szCs w:val="24"/>
        </w:rPr>
      </w:pPr>
      <w:r w:rsidRPr="001921E7">
        <w:rPr>
          <w:rFonts w:ascii="Arial" w:hAnsi="Arial" w:cs="Arial"/>
          <w:szCs w:val="24"/>
        </w:rPr>
        <w:t>the number served by the Program</w:t>
      </w:r>
    </w:p>
    <w:p w14:paraId="79063141" w14:textId="6C52AF15" w:rsidR="00A66724" w:rsidRPr="001921E7" w:rsidRDefault="00A66724" w:rsidP="001921E7">
      <w:pPr>
        <w:pStyle w:val="ListParagraph"/>
        <w:numPr>
          <w:ilvl w:val="0"/>
          <w:numId w:val="43"/>
        </w:numPr>
        <w:spacing w:line="360" w:lineRule="auto"/>
        <w:jc w:val="both"/>
        <w:rPr>
          <w:rFonts w:ascii="Arial" w:hAnsi="Arial" w:cs="Arial"/>
          <w:szCs w:val="24"/>
        </w:rPr>
      </w:pPr>
      <w:r w:rsidRPr="001921E7">
        <w:rPr>
          <w:rFonts w:ascii="Arial" w:hAnsi="Arial" w:cs="Arial"/>
          <w:szCs w:val="24"/>
        </w:rPr>
        <w:t>the percentage of referrals accepted</w:t>
      </w:r>
    </w:p>
    <w:p w14:paraId="7D9C79CE" w14:textId="3B13A068" w:rsidR="00A66724" w:rsidRPr="001921E7" w:rsidRDefault="00A66724" w:rsidP="001921E7">
      <w:pPr>
        <w:pStyle w:val="ListParagraph"/>
        <w:numPr>
          <w:ilvl w:val="0"/>
          <w:numId w:val="43"/>
        </w:numPr>
        <w:spacing w:line="360" w:lineRule="auto"/>
        <w:jc w:val="both"/>
        <w:rPr>
          <w:rFonts w:ascii="Arial" w:hAnsi="Arial" w:cs="Arial"/>
          <w:szCs w:val="24"/>
        </w:rPr>
      </w:pPr>
      <w:r w:rsidRPr="001921E7">
        <w:rPr>
          <w:rFonts w:ascii="Arial" w:hAnsi="Arial" w:cs="Arial"/>
          <w:szCs w:val="24"/>
        </w:rPr>
        <w:t>the percentage of referrals from law enforcement (hospital and jail diversion)</w:t>
      </w:r>
    </w:p>
    <w:p w14:paraId="76F9CE7E" w14:textId="7AFD7F48" w:rsidR="00A66724" w:rsidRPr="001921E7" w:rsidRDefault="00A66724" w:rsidP="001921E7">
      <w:pPr>
        <w:pStyle w:val="ListParagraph"/>
        <w:numPr>
          <w:ilvl w:val="0"/>
          <w:numId w:val="43"/>
        </w:numPr>
        <w:spacing w:line="360" w:lineRule="auto"/>
        <w:jc w:val="both"/>
        <w:rPr>
          <w:rFonts w:ascii="Arial" w:hAnsi="Arial" w:cs="Arial"/>
          <w:szCs w:val="24"/>
        </w:rPr>
      </w:pPr>
      <w:r w:rsidRPr="001921E7">
        <w:rPr>
          <w:rFonts w:ascii="Arial" w:hAnsi="Arial" w:cs="Arial"/>
          <w:szCs w:val="24"/>
        </w:rPr>
        <w:t>drop-off time for law enforcement</w:t>
      </w:r>
    </w:p>
    <w:p w14:paraId="4B5CE1FE" w14:textId="45957557" w:rsidR="00645A4F" w:rsidRDefault="00A66724">
      <w:pPr>
        <w:pStyle w:val="ListParagraph"/>
        <w:numPr>
          <w:ilvl w:val="0"/>
          <w:numId w:val="43"/>
        </w:numPr>
        <w:spacing w:line="360" w:lineRule="auto"/>
        <w:jc w:val="both"/>
        <w:rPr>
          <w:rFonts w:ascii="Arial" w:hAnsi="Arial" w:cs="Arial"/>
          <w:szCs w:val="24"/>
        </w:rPr>
      </w:pPr>
      <w:r w:rsidRPr="001921E7">
        <w:rPr>
          <w:rFonts w:ascii="Arial" w:hAnsi="Arial" w:cs="Arial"/>
          <w:szCs w:val="24"/>
        </w:rPr>
        <w:t>the average length of stay</w:t>
      </w:r>
      <w:r w:rsidR="00645A4F">
        <w:rPr>
          <w:rFonts w:ascii="Arial" w:hAnsi="Arial" w:cs="Arial"/>
          <w:szCs w:val="24"/>
        </w:rPr>
        <w:t xml:space="preserve"> </w:t>
      </w:r>
    </w:p>
    <w:p w14:paraId="36A5AEC3" w14:textId="131EA0DD" w:rsidR="00A66724" w:rsidRPr="001921E7" w:rsidRDefault="00645A4F" w:rsidP="001921E7">
      <w:pPr>
        <w:pStyle w:val="ListParagraph"/>
        <w:numPr>
          <w:ilvl w:val="0"/>
          <w:numId w:val="43"/>
        </w:numPr>
        <w:spacing w:line="360" w:lineRule="auto"/>
        <w:jc w:val="both"/>
        <w:rPr>
          <w:rFonts w:ascii="Arial" w:hAnsi="Arial" w:cs="Arial"/>
          <w:szCs w:val="24"/>
        </w:rPr>
      </w:pPr>
      <w:r>
        <w:rPr>
          <w:rFonts w:ascii="Arial" w:hAnsi="Arial" w:cs="Arial"/>
          <w:szCs w:val="24"/>
        </w:rPr>
        <w:t>exception report over 23-hour hold</w:t>
      </w:r>
    </w:p>
    <w:p w14:paraId="0D2E4A8E" w14:textId="11C370E3" w:rsidR="00A66724" w:rsidRPr="001921E7" w:rsidRDefault="00A66724" w:rsidP="001921E7">
      <w:pPr>
        <w:pStyle w:val="ListParagraph"/>
        <w:numPr>
          <w:ilvl w:val="0"/>
          <w:numId w:val="43"/>
        </w:numPr>
        <w:spacing w:line="360" w:lineRule="auto"/>
        <w:jc w:val="both"/>
        <w:rPr>
          <w:rFonts w:ascii="Arial" w:hAnsi="Arial" w:cs="Arial"/>
          <w:szCs w:val="24"/>
        </w:rPr>
      </w:pPr>
      <w:r w:rsidRPr="001921E7">
        <w:rPr>
          <w:rFonts w:ascii="Arial" w:hAnsi="Arial" w:cs="Arial"/>
          <w:szCs w:val="24"/>
        </w:rPr>
        <w:t>the percentage discharged to the community</w:t>
      </w:r>
    </w:p>
    <w:p w14:paraId="17352418" w14:textId="4C125E8E" w:rsidR="00656703" w:rsidRDefault="00A66724" w:rsidP="001921E7">
      <w:pPr>
        <w:pStyle w:val="ListParagraph"/>
        <w:numPr>
          <w:ilvl w:val="0"/>
          <w:numId w:val="43"/>
        </w:numPr>
        <w:spacing w:line="360" w:lineRule="auto"/>
        <w:jc w:val="both"/>
        <w:rPr>
          <w:rFonts w:ascii="Arial" w:hAnsi="Arial" w:cs="Arial"/>
          <w:szCs w:val="24"/>
        </w:rPr>
      </w:pPr>
      <w:r w:rsidRPr="001921E7">
        <w:rPr>
          <w:rFonts w:ascii="Arial" w:hAnsi="Arial" w:cs="Arial"/>
          <w:szCs w:val="24"/>
        </w:rPr>
        <w:t>guest</w:t>
      </w:r>
      <w:r w:rsidR="004A78E7">
        <w:rPr>
          <w:rFonts w:ascii="Arial" w:hAnsi="Arial" w:cs="Arial"/>
          <w:szCs w:val="24"/>
        </w:rPr>
        <w:t>/customer</w:t>
      </w:r>
      <w:r w:rsidRPr="001921E7">
        <w:rPr>
          <w:rFonts w:ascii="Arial" w:hAnsi="Arial" w:cs="Arial"/>
          <w:szCs w:val="24"/>
        </w:rPr>
        <w:t xml:space="preserve"> service</w:t>
      </w:r>
      <w:r w:rsidR="00C70C88">
        <w:rPr>
          <w:rFonts w:ascii="Arial" w:hAnsi="Arial" w:cs="Arial"/>
          <w:szCs w:val="24"/>
        </w:rPr>
        <w:t xml:space="preserve"> experience</w:t>
      </w:r>
      <w:r w:rsidRPr="001921E7">
        <w:rPr>
          <w:rFonts w:ascii="Arial" w:hAnsi="Arial" w:cs="Arial"/>
          <w:szCs w:val="24"/>
        </w:rPr>
        <w:t xml:space="preserve"> satisfaction</w:t>
      </w:r>
    </w:p>
    <w:p w14:paraId="0143BEFE" w14:textId="008572BD" w:rsidR="00C70C88" w:rsidRDefault="005B39FD" w:rsidP="00B70F60">
      <w:pPr>
        <w:spacing w:line="240" w:lineRule="auto"/>
        <w:jc w:val="both"/>
        <w:rPr>
          <w:rFonts w:ascii="Arial" w:hAnsi="Arial" w:cs="Arial"/>
          <w:szCs w:val="24"/>
        </w:rPr>
      </w:pPr>
      <w:r>
        <w:rPr>
          <w:rFonts w:ascii="Arial" w:hAnsi="Arial" w:cs="Arial"/>
          <w:szCs w:val="24"/>
        </w:rPr>
        <w:lastRenderedPageBreak/>
        <w:t>In addition, measurement of outcomes and subsequent evaluation requires planning for how we will be able to identify if equity goals for the CRS are being met appropriately or</w:t>
      </w:r>
      <w:r w:rsidR="00C70C88">
        <w:rPr>
          <w:rFonts w:ascii="Arial" w:hAnsi="Arial" w:cs="Arial"/>
          <w:szCs w:val="24"/>
        </w:rPr>
        <w:t xml:space="preserve"> alternatively if they</w:t>
      </w:r>
      <w:r>
        <w:rPr>
          <w:rFonts w:ascii="Arial" w:hAnsi="Arial" w:cs="Arial"/>
          <w:szCs w:val="24"/>
        </w:rPr>
        <w:t xml:space="preserve"> may require readjustment and redirection. </w:t>
      </w:r>
      <w:r w:rsidR="00724924">
        <w:rPr>
          <w:rFonts w:ascii="Arial" w:hAnsi="Arial" w:cs="Arial"/>
          <w:szCs w:val="24"/>
        </w:rPr>
        <w:t xml:space="preserve">At a minimum, specific metrics </w:t>
      </w:r>
      <w:r w:rsidR="00C70C88">
        <w:rPr>
          <w:rFonts w:ascii="Arial" w:hAnsi="Arial" w:cs="Arial"/>
          <w:szCs w:val="24"/>
        </w:rPr>
        <w:t xml:space="preserve">will </w:t>
      </w:r>
      <w:r w:rsidR="00724924">
        <w:rPr>
          <w:rFonts w:ascii="Arial" w:hAnsi="Arial" w:cs="Arial"/>
          <w:szCs w:val="24"/>
        </w:rPr>
        <w:t>be established</w:t>
      </w:r>
      <w:r w:rsidR="00C70C88">
        <w:rPr>
          <w:rFonts w:ascii="Arial" w:hAnsi="Arial" w:cs="Arial"/>
          <w:szCs w:val="24"/>
        </w:rPr>
        <w:t xml:space="preserve"> </w:t>
      </w:r>
      <w:r w:rsidR="00B24994">
        <w:rPr>
          <w:rFonts w:ascii="Arial" w:hAnsi="Arial" w:cs="Arial"/>
          <w:szCs w:val="24"/>
        </w:rPr>
        <w:t xml:space="preserve">and obtained </w:t>
      </w:r>
      <w:r w:rsidR="00C70C88">
        <w:rPr>
          <w:rFonts w:ascii="Arial" w:hAnsi="Arial" w:cs="Arial"/>
          <w:szCs w:val="24"/>
        </w:rPr>
        <w:t xml:space="preserve">to enable this examination. These will </w:t>
      </w:r>
      <w:r w:rsidR="00724924">
        <w:rPr>
          <w:rFonts w:ascii="Arial" w:hAnsi="Arial" w:cs="Arial"/>
          <w:szCs w:val="24"/>
        </w:rPr>
        <w:t>includ</w:t>
      </w:r>
      <w:r w:rsidR="00C70C88">
        <w:rPr>
          <w:rFonts w:ascii="Arial" w:hAnsi="Arial" w:cs="Arial"/>
          <w:szCs w:val="24"/>
        </w:rPr>
        <w:t>e</w:t>
      </w:r>
      <w:r w:rsidR="00724924">
        <w:rPr>
          <w:rFonts w:ascii="Arial" w:hAnsi="Arial" w:cs="Arial"/>
          <w:szCs w:val="24"/>
        </w:rPr>
        <w:t xml:space="preserve"> differentiation of those populations served</w:t>
      </w:r>
      <w:r w:rsidR="00C70C88">
        <w:rPr>
          <w:rFonts w:ascii="Arial" w:hAnsi="Arial" w:cs="Arial"/>
          <w:szCs w:val="24"/>
        </w:rPr>
        <w:t xml:space="preserve"> by the CRS</w:t>
      </w:r>
      <w:r w:rsidR="00724924">
        <w:rPr>
          <w:rFonts w:ascii="Arial" w:hAnsi="Arial" w:cs="Arial"/>
          <w:szCs w:val="24"/>
        </w:rPr>
        <w:t xml:space="preserve">, including by </w:t>
      </w:r>
      <w:r w:rsidR="004A78E7">
        <w:rPr>
          <w:rFonts w:ascii="Arial" w:hAnsi="Arial" w:cs="Arial"/>
          <w:szCs w:val="24"/>
        </w:rPr>
        <w:t xml:space="preserve">demographics including </w:t>
      </w:r>
      <w:r w:rsidR="00724924">
        <w:rPr>
          <w:rFonts w:ascii="Arial" w:hAnsi="Arial" w:cs="Arial"/>
          <w:szCs w:val="24"/>
        </w:rPr>
        <w:t>race, gender, and</w:t>
      </w:r>
      <w:r w:rsidR="004A78E7">
        <w:rPr>
          <w:rFonts w:ascii="Arial" w:hAnsi="Arial" w:cs="Arial"/>
          <w:szCs w:val="24"/>
        </w:rPr>
        <w:t xml:space="preserve"> also</w:t>
      </w:r>
      <w:r w:rsidR="00724924">
        <w:rPr>
          <w:rFonts w:ascii="Arial" w:hAnsi="Arial" w:cs="Arial"/>
          <w:szCs w:val="24"/>
        </w:rPr>
        <w:t xml:space="preserve"> geographic neighborhood or community area. </w:t>
      </w:r>
      <w:r w:rsidR="00C70C88">
        <w:rPr>
          <w:rFonts w:ascii="Arial" w:hAnsi="Arial" w:cs="Arial"/>
          <w:szCs w:val="24"/>
        </w:rPr>
        <w:t>Qualitative data obtained from interviews with</w:t>
      </w:r>
      <w:r w:rsidR="00B24994">
        <w:rPr>
          <w:rFonts w:ascii="Arial" w:hAnsi="Arial" w:cs="Arial"/>
          <w:szCs w:val="24"/>
        </w:rPr>
        <w:t xml:space="preserve"> those who receive services on site at the CRS would supplement the quantitative data developed. </w:t>
      </w:r>
    </w:p>
    <w:p w14:paraId="1298F235" w14:textId="3FF00DFC" w:rsidR="005B39FD" w:rsidRDefault="00053FDC" w:rsidP="00B70F60">
      <w:pPr>
        <w:spacing w:line="240" w:lineRule="auto"/>
        <w:jc w:val="both"/>
        <w:rPr>
          <w:rFonts w:ascii="Arial" w:hAnsi="Arial" w:cs="Arial"/>
          <w:szCs w:val="24"/>
        </w:rPr>
      </w:pPr>
      <w:r>
        <w:rPr>
          <w:rFonts w:ascii="Arial" w:hAnsi="Arial" w:cs="Arial"/>
          <w:szCs w:val="24"/>
        </w:rPr>
        <w:t xml:space="preserve">The identification of these metrics will help </w:t>
      </w:r>
      <w:r w:rsidR="004A78E7">
        <w:rPr>
          <w:rFonts w:ascii="Arial" w:hAnsi="Arial" w:cs="Arial"/>
          <w:szCs w:val="24"/>
        </w:rPr>
        <w:t xml:space="preserve">use </w:t>
      </w:r>
      <w:r>
        <w:rPr>
          <w:rFonts w:ascii="Arial" w:hAnsi="Arial" w:cs="Arial"/>
          <w:szCs w:val="24"/>
        </w:rPr>
        <w:t xml:space="preserve">monitor the strategies put in place through the CRS and its range of services at the neighborhood level. This process will help the County and its partners evaluate whether our strategies to infuse an equity-based framework </w:t>
      </w:r>
      <w:r w:rsidR="004A78E7">
        <w:rPr>
          <w:rFonts w:ascii="Arial" w:hAnsi="Arial" w:cs="Arial"/>
          <w:szCs w:val="24"/>
        </w:rPr>
        <w:t>for the use of SLFRF funds are making the impact we seek</w:t>
      </w:r>
      <w:r w:rsidR="00C70C88">
        <w:rPr>
          <w:rFonts w:ascii="Arial" w:hAnsi="Arial" w:cs="Arial"/>
          <w:szCs w:val="24"/>
        </w:rPr>
        <w:t xml:space="preserve"> in the implementation of the CRS program.</w:t>
      </w:r>
      <w:r w:rsidR="004A78E7">
        <w:rPr>
          <w:rFonts w:ascii="Arial" w:hAnsi="Arial" w:cs="Arial"/>
          <w:szCs w:val="24"/>
        </w:rPr>
        <w:t xml:space="preserve"> </w:t>
      </w:r>
    </w:p>
    <w:p w14:paraId="77554A52" w14:textId="08E39FEF" w:rsidR="00B24994" w:rsidRPr="00464C75" w:rsidRDefault="00B24994" w:rsidP="00464C75">
      <w:pPr>
        <w:spacing w:line="240" w:lineRule="auto"/>
        <w:jc w:val="both"/>
        <w:rPr>
          <w:rFonts w:ascii="Arial" w:hAnsi="Arial" w:cs="Arial"/>
          <w:szCs w:val="24"/>
        </w:rPr>
      </w:pPr>
      <w:r>
        <w:rPr>
          <w:rFonts w:ascii="Arial" w:hAnsi="Arial" w:cs="Arial"/>
          <w:szCs w:val="24"/>
        </w:rPr>
        <w:t xml:space="preserve">Benchmarks for collection and assessment of data, including formal measurement periods, will be established and followed in order to achieve proper documentation of performance indicators. </w:t>
      </w:r>
      <w:r w:rsidR="00BD7236">
        <w:rPr>
          <w:rFonts w:ascii="Arial" w:hAnsi="Arial" w:cs="Arial"/>
          <w:szCs w:val="24"/>
        </w:rPr>
        <w:t xml:space="preserve">The County and its partner agencies, including Meridian, will review and assess the results yielded through that assessment. The following step would be a formal consideration with community partners representing disadvantaged communities of what impact the equity framework being applied in conjunction with the CRS is having. The </w:t>
      </w:r>
      <w:r w:rsidR="004934E6">
        <w:rPr>
          <w:rFonts w:ascii="Arial" w:hAnsi="Arial" w:cs="Arial"/>
          <w:szCs w:val="24"/>
        </w:rPr>
        <w:t>dissemination</w:t>
      </w:r>
      <w:r w:rsidR="00BD7236">
        <w:rPr>
          <w:rFonts w:ascii="Arial" w:hAnsi="Arial" w:cs="Arial"/>
          <w:szCs w:val="24"/>
        </w:rPr>
        <w:t xml:space="preserve"> of results with partner agencies and members </w:t>
      </w:r>
      <w:r w:rsidR="004934E6">
        <w:rPr>
          <w:rFonts w:ascii="Arial" w:hAnsi="Arial" w:cs="Arial"/>
          <w:szCs w:val="24"/>
        </w:rPr>
        <w:t xml:space="preserve">from disadvantaged communities </w:t>
      </w:r>
      <w:r w:rsidR="00BD7236">
        <w:rPr>
          <w:rFonts w:ascii="Arial" w:hAnsi="Arial" w:cs="Arial"/>
          <w:szCs w:val="24"/>
        </w:rPr>
        <w:t xml:space="preserve">through a public forum would be transparent and enable </w:t>
      </w:r>
      <w:r w:rsidR="00B70F60">
        <w:rPr>
          <w:rFonts w:ascii="Arial" w:hAnsi="Arial" w:cs="Arial"/>
          <w:szCs w:val="24"/>
        </w:rPr>
        <w:t>a valuable dialogue about what has been achieved in equity outcomes and potentially identification of a path forward for doing better.</w:t>
      </w:r>
      <w:r w:rsidR="00BD7236">
        <w:rPr>
          <w:rFonts w:ascii="Arial" w:hAnsi="Arial" w:cs="Arial"/>
          <w:szCs w:val="24"/>
        </w:rPr>
        <w:t xml:space="preserve"> </w:t>
      </w:r>
    </w:p>
    <w:p w14:paraId="7D09BADF" w14:textId="3AFD79F2" w:rsidR="00A66724" w:rsidRPr="000045FB" w:rsidRDefault="00A66724" w:rsidP="001921E7">
      <w:pPr>
        <w:jc w:val="both"/>
        <w:rPr>
          <w:rFonts w:ascii="Arial" w:hAnsi="Arial" w:cs="Arial"/>
          <w:szCs w:val="24"/>
        </w:rPr>
      </w:pPr>
      <w:r w:rsidRPr="000045FB">
        <w:rPr>
          <w:rFonts w:ascii="Arial" w:hAnsi="Arial" w:cs="Arial"/>
          <w:szCs w:val="24"/>
        </w:rPr>
        <w:t xml:space="preserve">At the core of development of a Central Receiving </w:t>
      </w:r>
      <w:r w:rsidR="00FE7F57">
        <w:rPr>
          <w:rFonts w:ascii="Arial" w:hAnsi="Arial" w:cs="Arial"/>
          <w:szCs w:val="24"/>
        </w:rPr>
        <w:t>System</w:t>
      </w:r>
      <w:r w:rsidR="00FE7F57" w:rsidRPr="000045FB">
        <w:rPr>
          <w:rFonts w:ascii="Arial" w:hAnsi="Arial" w:cs="Arial"/>
          <w:szCs w:val="24"/>
        </w:rPr>
        <w:t xml:space="preserve"> </w:t>
      </w:r>
      <w:r w:rsidRPr="000045FB">
        <w:rPr>
          <w:rFonts w:ascii="Arial" w:hAnsi="Arial" w:cs="Arial"/>
          <w:szCs w:val="24"/>
        </w:rPr>
        <w:t xml:space="preserve">for </w:t>
      </w:r>
      <w:r w:rsidR="000323EA">
        <w:rPr>
          <w:rFonts w:ascii="Arial" w:hAnsi="Arial" w:cs="Arial"/>
          <w:szCs w:val="24"/>
        </w:rPr>
        <w:t>b</w:t>
      </w:r>
      <w:r w:rsidRPr="000045FB">
        <w:rPr>
          <w:rFonts w:ascii="Arial" w:hAnsi="Arial" w:cs="Arial"/>
          <w:szCs w:val="24"/>
        </w:rPr>
        <w:t xml:space="preserve">ehavioral </w:t>
      </w:r>
      <w:r w:rsidR="000323EA">
        <w:rPr>
          <w:rFonts w:ascii="Arial" w:hAnsi="Arial" w:cs="Arial"/>
          <w:szCs w:val="24"/>
        </w:rPr>
        <w:t>h</w:t>
      </w:r>
      <w:r w:rsidRPr="000045FB">
        <w:rPr>
          <w:rFonts w:ascii="Arial" w:hAnsi="Arial" w:cs="Arial"/>
          <w:szCs w:val="24"/>
        </w:rPr>
        <w:t>ealth crisis care is the requirement that the institutions engaged in this initiative are integrated parts of a coordinated system of care. This requires constant, substantive communication and collaboration among all of the organizations engaged in the overall enterprise, despite the usual challenges created by developing new services across program and organizational boundaries. There are multiple facets of collaborations and also different ways to evaluate whether the newly developed system truly meets the test of what constitutes a fully collaborative entity. The SAMHSA “National Guidelines for Behavioral Health Crisis Care: A Best Practice Toolkit” suggests the use of a model framework</w:t>
      </w:r>
      <w:r w:rsidR="005C717D">
        <w:rPr>
          <w:rFonts w:ascii="Arial" w:hAnsi="Arial" w:cs="Arial"/>
          <w:szCs w:val="24"/>
        </w:rPr>
        <w:t xml:space="preserve"> known as “The Milbank C</w:t>
      </w:r>
      <w:r w:rsidRPr="000045FB">
        <w:rPr>
          <w:rFonts w:ascii="Arial" w:hAnsi="Arial" w:cs="Arial"/>
          <w:szCs w:val="24"/>
        </w:rPr>
        <w:t>ontinuum</w:t>
      </w:r>
      <w:r w:rsidR="005C717D">
        <w:rPr>
          <w:rFonts w:ascii="Arial" w:hAnsi="Arial" w:cs="Arial"/>
          <w:szCs w:val="24"/>
        </w:rPr>
        <w:t>,”</w:t>
      </w:r>
      <w:r w:rsidRPr="000045FB">
        <w:rPr>
          <w:rFonts w:ascii="Arial" w:hAnsi="Arial" w:cs="Arial"/>
          <w:szCs w:val="24"/>
        </w:rPr>
        <w:t xml:space="preserve"> in order to help evaluate crisis system community coordination and collaboration. It is the intention of the Alachua County </w:t>
      </w:r>
      <w:r w:rsidR="001B5241">
        <w:rPr>
          <w:rFonts w:ascii="Arial" w:hAnsi="Arial" w:cs="Arial"/>
          <w:szCs w:val="24"/>
        </w:rPr>
        <w:t>CRS</w:t>
      </w:r>
      <w:r w:rsidRPr="000045FB">
        <w:rPr>
          <w:rFonts w:ascii="Arial" w:hAnsi="Arial" w:cs="Arial"/>
          <w:szCs w:val="24"/>
        </w:rPr>
        <w:t xml:space="preserve"> initiative to track and monitor the system being created with the use of such a tool which has achieved significant standing via research in the field of behavioral health crisis care.</w:t>
      </w:r>
    </w:p>
    <w:p w14:paraId="38190A58" w14:textId="4B5FF316" w:rsidR="00AB6F7E" w:rsidRDefault="00A66724" w:rsidP="001921E7">
      <w:pPr>
        <w:jc w:val="both"/>
        <w:rPr>
          <w:rFonts w:ascii="Arial" w:hAnsi="Arial" w:cs="Arial"/>
          <w:szCs w:val="24"/>
        </w:rPr>
      </w:pPr>
      <w:r w:rsidRPr="000045FB">
        <w:rPr>
          <w:rFonts w:ascii="Arial" w:hAnsi="Arial" w:cs="Arial"/>
          <w:szCs w:val="24"/>
        </w:rPr>
        <w:t xml:space="preserve">There is also the commitment on the part of Alachua County to provide appropriate data about those served by the </w:t>
      </w:r>
      <w:r w:rsidR="001B5241">
        <w:rPr>
          <w:rFonts w:ascii="Arial" w:hAnsi="Arial" w:cs="Arial"/>
          <w:szCs w:val="24"/>
        </w:rPr>
        <w:t>CRS</w:t>
      </w:r>
      <w:r w:rsidRPr="000045FB">
        <w:rPr>
          <w:rFonts w:ascii="Arial" w:hAnsi="Arial" w:cs="Arial"/>
          <w:szCs w:val="24"/>
        </w:rPr>
        <w:t xml:space="preserve"> once it becomes operational. Such data as race, ethnicity, gender, </w:t>
      </w:r>
      <w:proofErr w:type="gramStart"/>
      <w:r w:rsidRPr="000045FB">
        <w:rPr>
          <w:rFonts w:ascii="Arial" w:hAnsi="Arial" w:cs="Arial"/>
          <w:szCs w:val="24"/>
        </w:rPr>
        <w:t>income</w:t>
      </w:r>
      <w:proofErr w:type="gramEnd"/>
      <w:r w:rsidRPr="000045FB">
        <w:rPr>
          <w:rFonts w:ascii="Arial" w:hAnsi="Arial" w:cs="Arial"/>
          <w:szCs w:val="24"/>
        </w:rPr>
        <w:t xml:space="preserve"> and other a</w:t>
      </w:r>
      <w:r w:rsidR="000323EA">
        <w:rPr>
          <w:rFonts w:ascii="Arial" w:hAnsi="Arial" w:cs="Arial"/>
          <w:szCs w:val="24"/>
        </w:rPr>
        <w:t>p</w:t>
      </w:r>
      <w:r w:rsidRPr="000045FB">
        <w:rPr>
          <w:rFonts w:ascii="Arial" w:hAnsi="Arial" w:cs="Arial"/>
          <w:szCs w:val="24"/>
        </w:rPr>
        <w:t xml:space="preserve">propriate factors at a minimum will be collected and shared with Treasury. It is likely that as the plan to develop and implement the </w:t>
      </w:r>
      <w:r w:rsidR="001B5241">
        <w:rPr>
          <w:rFonts w:ascii="Arial" w:hAnsi="Arial" w:cs="Arial"/>
          <w:szCs w:val="24"/>
        </w:rPr>
        <w:t>CRS</w:t>
      </w:r>
      <w:r w:rsidRPr="000045FB">
        <w:rPr>
          <w:rFonts w:ascii="Arial" w:hAnsi="Arial" w:cs="Arial"/>
          <w:szCs w:val="24"/>
        </w:rPr>
        <w:t xml:space="preserve"> proceeds during the next year, there will be additional data identified as necessary and appropriate to collect and incorporate into the Recovery Plan Performance Report. </w:t>
      </w:r>
    </w:p>
    <w:p w14:paraId="2DF6A79C" w14:textId="5C572089" w:rsidR="00933AEA" w:rsidRDefault="0075793F" w:rsidP="001921E7">
      <w:pPr>
        <w:jc w:val="both"/>
        <w:rPr>
          <w:rFonts w:ascii="Arial" w:hAnsi="Arial" w:cs="Arial"/>
          <w:b/>
          <w:szCs w:val="24"/>
        </w:rPr>
      </w:pPr>
      <w:r w:rsidRPr="0075793F">
        <w:rPr>
          <w:rFonts w:ascii="Arial" w:hAnsi="Arial" w:cs="Arial"/>
          <w:b/>
          <w:szCs w:val="24"/>
        </w:rPr>
        <w:t>Required Performance Indicators and Programmatic Data</w:t>
      </w:r>
    </w:p>
    <w:p w14:paraId="66C12CB9" w14:textId="6D702D18" w:rsidR="00E5414A" w:rsidRDefault="00E5414A" w:rsidP="000323EA">
      <w:pPr>
        <w:ind w:left="270" w:hanging="270"/>
        <w:rPr>
          <w:rFonts w:ascii="Arial" w:hAnsi="Arial" w:cs="Arial"/>
          <w:szCs w:val="24"/>
        </w:rPr>
      </w:pPr>
      <w:r w:rsidRPr="00464C75">
        <w:rPr>
          <w:rFonts w:ascii="Arial" w:hAnsi="Arial" w:cs="Arial"/>
        </w:rPr>
        <w:t>1.</w:t>
      </w:r>
      <w:r w:rsidR="000323EA">
        <w:rPr>
          <w:rFonts w:ascii="Arial" w:hAnsi="Arial" w:cs="Arial"/>
        </w:rPr>
        <w:t xml:space="preserve"> </w:t>
      </w:r>
      <w:r w:rsidRPr="00464C75">
        <w:rPr>
          <w:rFonts w:ascii="Arial" w:hAnsi="Arial" w:cs="Arial"/>
        </w:rPr>
        <w:t>Total n</w:t>
      </w:r>
      <w:r w:rsidR="00933AEA" w:rsidRPr="00464C75">
        <w:rPr>
          <w:rFonts w:ascii="Arial" w:hAnsi="Arial" w:cs="Arial"/>
        </w:rPr>
        <w:t xml:space="preserve">umber served by the </w:t>
      </w:r>
      <w:r w:rsidRPr="00464C75">
        <w:rPr>
          <w:rFonts w:ascii="Arial" w:hAnsi="Arial" w:cs="Arial"/>
        </w:rPr>
        <w:t>p</w:t>
      </w:r>
      <w:r w:rsidR="00933AEA" w:rsidRPr="00464C75">
        <w:rPr>
          <w:rFonts w:ascii="Arial" w:hAnsi="Arial" w:cs="Arial"/>
        </w:rPr>
        <w:t>rogram</w:t>
      </w:r>
      <w:r w:rsidRPr="00464C75">
        <w:rPr>
          <w:rFonts w:ascii="Arial" w:hAnsi="Arial" w:cs="Arial"/>
        </w:rPr>
        <w:t xml:space="preserve"> by key demographic data including, age, race, gender, referral source, zip code, prior admission,</w:t>
      </w:r>
      <w:r>
        <w:rPr>
          <w:rFonts w:ascii="Arial" w:hAnsi="Arial" w:cs="Arial"/>
        </w:rPr>
        <w:t xml:space="preserve"> </w:t>
      </w:r>
      <w:r w:rsidR="001D439C">
        <w:rPr>
          <w:rFonts w:ascii="Arial" w:hAnsi="Arial" w:cs="Arial"/>
        </w:rPr>
        <w:t>income level, and insurance type</w:t>
      </w:r>
      <w:r>
        <w:rPr>
          <w:rFonts w:ascii="Arial" w:hAnsi="Arial" w:cs="Arial"/>
        </w:rPr>
        <w:t>.</w:t>
      </w:r>
      <w:r w:rsidR="00C01B3D">
        <w:rPr>
          <w:rFonts w:ascii="Arial" w:hAnsi="Arial" w:cs="Arial"/>
        </w:rPr>
        <w:t xml:space="preserve">  </w:t>
      </w:r>
      <w:r w:rsidR="008070B9" w:rsidRPr="00087137">
        <w:rPr>
          <w:rFonts w:ascii="Arial" w:hAnsi="Arial" w:cs="Arial"/>
          <w:bCs/>
          <w:szCs w:val="24"/>
        </w:rPr>
        <w:t>The demographic data</w:t>
      </w:r>
      <w:r w:rsidR="008070B9">
        <w:rPr>
          <w:rFonts w:ascii="Arial" w:hAnsi="Arial" w:cs="Arial"/>
          <w:bCs/>
          <w:szCs w:val="24"/>
        </w:rPr>
        <w:t xml:space="preserve"> </w:t>
      </w:r>
      <w:r w:rsidR="008070B9" w:rsidRPr="00087137">
        <w:rPr>
          <w:rFonts w:ascii="Arial" w:hAnsi="Arial" w:cs="Arial"/>
          <w:bCs/>
          <w:szCs w:val="24"/>
        </w:rPr>
        <w:t xml:space="preserve">percentage of those served will mirror the overall make-up of the community </w:t>
      </w:r>
      <w:r w:rsidR="008070B9">
        <w:rPr>
          <w:rFonts w:ascii="Arial" w:hAnsi="Arial" w:cs="Arial"/>
          <w:bCs/>
          <w:szCs w:val="24"/>
        </w:rPr>
        <w:t>within +/- 10% of the latest Census data</w:t>
      </w:r>
      <w:r w:rsidR="00C01B3D">
        <w:rPr>
          <w:rFonts w:ascii="Arial" w:hAnsi="Arial" w:cs="Arial"/>
        </w:rPr>
        <w:t>.</w:t>
      </w:r>
      <w:r w:rsidRPr="00464C75">
        <w:rPr>
          <w:rFonts w:ascii="Arial" w:hAnsi="Arial" w:cs="Arial"/>
        </w:rPr>
        <w:t xml:space="preserve"> </w:t>
      </w:r>
    </w:p>
    <w:p w14:paraId="036B78D3" w14:textId="76BFEDFE" w:rsidR="00933AEA" w:rsidRDefault="00E5414A" w:rsidP="000323EA">
      <w:pPr>
        <w:ind w:left="270" w:hanging="360"/>
        <w:jc w:val="both"/>
        <w:rPr>
          <w:rFonts w:ascii="Arial" w:hAnsi="Arial" w:cs="Arial"/>
          <w:szCs w:val="24"/>
        </w:rPr>
      </w:pPr>
      <w:r>
        <w:rPr>
          <w:rFonts w:ascii="Arial" w:hAnsi="Arial" w:cs="Arial"/>
          <w:szCs w:val="24"/>
        </w:rPr>
        <w:lastRenderedPageBreak/>
        <w:t>2.   D</w:t>
      </w:r>
      <w:r w:rsidR="00933AEA" w:rsidRPr="001921E7">
        <w:rPr>
          <w:rFonts w:ascii="Arial" w:hAnsi="Arial" w:cs="Arial"/>
          <w:szCs w:val="24"/>
        </w:rPr>
        <w:t>rop-off time for law enforcement</w:t>
      </w:r>
      <w:r>
        <w:rPr>
          <w:rFonts w:ascii="Arial" w:hAnsi="Arial" w:cs="Arial"/>
          <w:szCs w:val="24"/>
        </w:rPr>
        <w:t xml:space="preserve"> is less than 15 minutes on average, with 85% of all drop offs </w:t>
      </w:r>
      <w:r w:rsidR="00033A2C">
        <w:rPr>
          <w:rFonts w:ascii="Arial" w:hAnsi="Arial" w:cs="Arial"/>
          <w:szCs w:val="24"/>
        </w:rPr>
        <w:t>less than 15 minutes.</w:t>
      </w:r>
    </w:p>
    <w:p w14:paraId="4D06E70E" w14:textId="017EFFF0" w:rsidR="00933AEA" w:rsidRDefault="00033A2C" w:rsidP="000323EA">
      <w:pPr>
        <w:ind w:left="270" w:hanging="360"/>
        <w:jc w:val="both"/>
        <w:rPr>
          <w:rFonts w:ascii="Arial" w:hAnsi="Arial" w:cs="Arial"/>
          <w:szCs w:val="24"/>
        </w:rPr>
      </w:pPr>
      <w:r>
        <w:rPr>
          <w:rFonts w:ascii="Arial" w:hAnsi="Arial" w:cs="Arial"/>
          <w:szCs w:val="24"/>
        </w:rPr>
        <w:t>3.  A</w:t>
      </w:r>
      <w:r w:rsidR="00933AEA" w:rsidRPr="001921E7">
        <w:rPr>
          <w:rFonts w:ascii="Arial" w:hAnsi="Arial" w:cs="Arial"/>
          <w:szCs w:val="24"/>
        </w:rPr>
        <w:t xml:space="preserve">verage </w:t>
      </w:r>
      <w:r>
        <w:rPr>
          <w:rFonts w:ascii="Arial" w:hAnsi="Arial" w:cs="Arial"/>
          <w:szCs w:val="24"/>
        </w:rPr>
        <w:t>time</w:t>
      </w:r>
      <w:r w:rsidR="00933AEA" w:rsidRPr="001921E7">
        <w:rPr>
          <w:rFonts w:ascii="Arial" w:hAnsi="Arial" w:cs="Arial"/>
          <w:szCs w:val="24"/>
        </w:rPr>
        <w:t xml:space="preserve"> of stay</w:t>
      </w:r>
      <w:r w:rsidR="00933AEA">
        <w:rPr>
          <w:rFonts w:ascii="Arial" w:hAnsi="Arial" w:cs="Arial"/>
          <w:szCs w:val="24"/>
        </w:rPr>
        <w:t xml:space="preserve"> </w:t>
      </w:r>
      <w:r>
        <w:rPr>
          <w:rFonts w:ascii="Arial" w:hAnsi="Arial" w:cs="Arial"/>
          <w:szCs w:val="24"/>
        </w:rPr>
        <w:t>is less than 4 hours for 75% of all admissions, and 95% of all admissions are transferred in less than 23 hours.</w:t>
      </w:r>
    </w:p>
    <w:p w14:paraId="000F619A" w14:textId="628B2124" w:rsidR="001D439C" w:rsidRDefault="001D439C" w:rsidP="000323EA">
      <w:pPr>
        <w:ind w:left="270" w:hanging="360"/>
        <w:jc w:val="both"/>
        <w:rPr>
          <w:rFonts w:ascii="Arial" w:hAnsi="Arial" w:cs="Arial"/>
          <w:szCs w:val="24"/>
        </w:rPr>
      </w:pPr>
      <w:r w:rsidRPr="001D439C">
        <w:rPr>
          <w:rFonts w:ascii="Arial" w:hAnsi="Arial" w:cs="Arial"/>
          <w:szCs w:val="24"/>
        </w:rPr>
        <w:t>4.</w:t>
      </w:r>
      <w:r>
        <w:rPr>
          <w:rFonts w:ascii="Arial" w:hAnsi="Arial" w:cs="Arial"/>
          <w:szCs w:val="24"/>
        </w:rPr>
        <w:t xml:space="preserve">  </w:t>
      </w:r>
      <w:r w:rsidR="00000EE9" w:rsidRPr="00464C75">
        <w:rPr>
          <w:rFonts w:ascii="Arial" w:hAnsi="Arial" w:cs="Arial"/>
          <w:szCs w:val="24"/>
        </w:rPr>
        <w:t xml:space="preserve">Case disposition report demonstrates </w:t>
      </w:r>
      <w:r w:rsidR="00F907B3" w:rsidRPr="00464C75">
        <w:rPr>
          <w:rFonts w:ascii="Arial" w:hAnsi="Arial" w:cs="Arial"/>
          <w:szCs w:val="24"/>
        </w:rPr>
        <w:t xml:space="preserve">90% </w:t>
      </w:r>
      <w:r w:rsidR="00000EE9" w:rsidRPr="00464C75">
        <w:rPr>
          <w:rFonts w:ascii="Arial" w:hAnsi="Arial" w:cs="Arial"/>
          <w:szCs w:val="24"/>
        </w:rPr>
        <w:t>parity in the transfer of patients to the other receiving centers</w:t>
      </w:r>
      <w:r w:rsidR="00F907B3" w:rsidRPr="00464C75">
        <w:rPr>
          <w:rFonts w:ascii="Arial" w:hAnsi="Arial" w:cs="Arial"/>
          <w:szCs w:val="24"/>
        </w:rPr>
        <w:t>.</w:t>
      </w:r>
    </w:p>
    <w:p w14:paraId="566328F3" w14:textId="3FEC6C69" w:rsidR="001D439C" w:rsidRDefault="001D439C" w:rsidP="000323EA">
      <w:pPr>
        <w:ind w:left="270" w:hanging="360"/>
        <w:jc w:val="both"/>
        <w:rPr>
          <w:rFonts w:ascii="Arial" w:hAnsi="Arial" w:cs="Arial"/>
          <w:szCs w:val="24"/>
        </w:rPr>
      </w:pPr>
      <w:r>
        <w:rPr>
          <w:rFonts w:ascii="Arial" w:hAnsi="Arial" w:cs="Arial"/>
          <w:szCs w:val="24"/>
        </w:rPr>
        <w:t xml:space="preserve">5.  </w:t>
      </w:r>
      <w:r w:rsidR="00E969A3" w:rsidRPr="00464C75">
        <w:rPr>
          <w:rFonts w:ascii="Arial" w:hAnsi="Arial" w:cs="Arial"/>
        </w:rPr>
        <w:t>Customer satisfaction data</w:t>
      </w:r>
      <w:r w:rsidR="00E969A3">
        <w:rPr>
          <w:rFonts w:ascii="Arial" w:hAnsi="Arial" w:cs="Arial"/>
          <w:szCs w:val="24"/>
        </w:rPr>
        <w:t xml:space="preserve"> indicates 75% or more of those served are satisfied with the services</w:t>
      </w:r>
      <w:r w:rsidR="000323EA">
        <w:rPr>
          <w:rFonts w:ascii="Arial" w:hAnsi="Arial" w:cs="Arial"/>
          <w:szCs w:val="24"/>
        </w:rPr>
        <w:t xml:space="preserve"> </w:t>
      </w:r>
      <w:r w:rsidR="00E969A3">
        <w:rPr>
          <w:rFonts w:ascii="Arial" w:hAnsi="Arial" w:cs="Arial"/>
          <w:szCs w:val="24"/>
        </w:rPr>
        <w:t>provided</w:t>
      </w:r>
      <w:r w:rsidR="00E969A3" w:rsidRPr="00464C75">
        <w:rPr>
          <w:rFonts w:ascii="Arial" w:hAnsi="Arial" w:cs="Arial"/>
          <w:szCs w:val="24"/>
        </w:rPr>
        <w:t xml:space="preserve"> </w:t>
      </w:r>
    </w:p>
    <w:p w14:paraId="07AAEBF3" w14:textId="77777777" w:rsidR="00DA7ACA" w:rsidRDefault="00E969A3" w:rsidP="00DA7ACA">
      <w:pPr>
        <w:ind w:left="270" w:hanging="360"/>
        <w:jc w:val="both"/>
        <w:rPr>
          <w:rFonts w:ascii="Arial" w:hAnsi="Arial" w:cs="Arial"/>
          <w:szCs w:val="24"/>
        </w:rPr>
      </w:pPr>
      <w:r>
        <w:rPr>
          <w:rFonts w:ascii="Arial" w:hAnsi="Arial" w:cs="Arial"/>
          <w:szCs w:val="24"/>
        </w:rPr>
        <w:t xml:space="preserve">6.   </w:t>
      </w:r>
      <w:r w:rsidR="008070B9">
        <w:rPr>
          <w:rFonts w:ascii="Arial" w:hAnsi="Arial" w:cs="Arial"/>
          <w:szCs w:val="24"/>
        </w:rPr>
        <w:t>Of those served by the CRS, less than 35% will make a subsequent request for services in 12 months following discharge</w:t>
      </w:r>
      <w:r w:rsidR="00662D05">
        <w:rPr>
          <w:rFonts w:ascii="Arial" w:hAnsi="Arial" w:cs="Arial"/>
          <w:szCs w:val="24"/>
        </w:rPr>
        <w:t xml:space="preserve"> </w:t>
      </w:r>
    </w:p>
    <w:p w14:paraId="17EEC889" w14:textId="4346A168" w:rsidR="00BB5F78" w:rsidRPr="00DA7ACA" w:rsidRDefault="00BB5F78" w:rsidP="00DA7ACA">
      <w:pPr>
        <w:ind w:left="270" w:hanging="360"/>
        <w:jc w:val="both"/>
        <w:rPr>
          <w:rFonts w:ascii="Arial" w:hAnsi="Arial" w:cs="Arial"/>
          <w:szCs w:val="24"/>
        </w:rPr>
      </w:pPr>
      <w:r>
        <w:rPr>
          <w:rFonts w:ascii="Arial" w:hAnsi="Arial" w:cs="Arial"/>
          <w:b/>
          <w:szCs w:val="24"/>
        </w:rPr>
        <w:t>Ineligible Activities: Tax Offset Provision</w:t>
      </w:r>
    </w:p>
    <w:p w14:paraId="60B8885E" w14:textId="769C3CAD" w:rsidR="00BB5F78" w:rsidRDefault="00BB5F78" w:rsidP="001921E7">
      <w:pPr>
        <w:jc w:val="both"/>
        <w:rPr>
          <w:rFonts w:ascii="Arial" w:hAnsi="Arial" w:cs="Arial"/>
          <w:szCs w:val="24"/>
        </w:rPr>
      </w:pPr>
      <w:r>
        <w:rPr>
          <w:rFonts w:ascii="Arial" w:hAnsi="Arial" w:cs="Arial"/>
          <w:szCs w:val="24"/>
        </w:rPr>
        <w:t>Not applicable</w:t>
      </w:r>
    </w:p>
    <w:sectPr w:rsidR="00BB5F78" w:rsidSect="00F366B0">
      <w:footerReference w:type="default" r:id="rId13"/>
      <w:footerReference w:type="first" r:id="rId14"/>
      <w:pgSz w:w="12240" w:h="15840"/>
      <w:pgMar w:top="1440" w:right="1440" w:bottom="1440" w:left="1440" w:header="720" w:footer="58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93FB" w14:textId="77777777" w:rsidR="00C86E4A" w:rsidRDefault="00C86E4A" w:rsidP="00B90454">
      <w:pPr>
        <w:spacing w:after="0" w:line="240" w:lineRule="auto"/>
      </w:pPr>
      <w:r>
        <w:separator/>
      </w:r>
    </w:p>
  </w:endnote>
  <w:endnote w:type="continuationSeparator" w:id="0">
    <w:p w14:paraId="5F3AE6D5" w14:textId="77777777" w:rsidR="00C86E4A" w:rsidRDefault="00C86E4A" w:rsidP="00B90454">
      <w:pPr>
        <w:spacing w:after="0" w:line="240" w:lineRule="auto"/>
      </w:pPr>
      <w:r>
        <w:continuationSeparator/>
      </w:r>
    </w:p>
  </w:endnote>
  <w:endnote w:type="continuationNotice" w:id="1">
    <w:p w14:paraId="7CFF01DB" w14:textId="77777777" w:rsidR="00C86E4A" w:rsidRDefault="00C86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3CD4" w14:textId="79E5613E" w:rsidR="00EA6F3A" w:rsidRPr="00F366B0" w:rsidRDefault="00EA6F3A" w:rsidP="00F366B0">
    <w:pPr>
      <w:pStyle w:val="Footer"/>
      <w:rPr>
        <w:rFonts w:ascii="Arial" w:hAnsi="Arial" w:cs="Arial"/>
        <w:sz w:val="20"/>
        <w:szCs w:val="20"/>
      </w:rPr>
    </w:pPr>
    <w:r>
      <w:rPr>
        <w:rFonts w:ascii="Arial" w:hAnsi="Arial" w:cs="Arial"/>
        <w:sz w:val="20"/>
        <w:szCs w:val="20"/>
      </w:rPr>
      <w:t>Alachua County</w:t>
    </w:r>
    <w:r w:rsidRPr="00F366B0">
      <w:rPr>
        <w:rFonts w:ascii="Arial" w:hAnsi="Arial" w:cs="Arial"/>
        <w:sz w:val="20"/>
        <w:szCs w:val="20"/>
      </w:rPr>
      <w:t xml:space="preserve"> 20</w:t>
    </w:r>
    <w:r>
      <w:rPr>
        <w:rFonts w:ascii="Arial" w:hAnsi="Arial" w:cs="Arial"/>
        <w:sz w:val="20"/>
        <w:szCs w:val="20"/>
      </w:rPr>
      <w:t>2</w:t>
    </w:r>
    <w:r w:rsidR="00391535">
      <w:rPr>
        <w:rFonts w:ascii="Arial" w:hAnsi="Arial" w:cs="Arial"/>
        <w:sz w:val="20"/>
        <w:szCs w:val="20"/>
      </w:rPr>
      <w:t>2</w:t>
    </w:r>
    <w:r w:rsidRPr="00F366B0">
      <w:rPr>
        <w:rFonts w:ascii="Arial" w:hAnsi="Arial" w:cs="Arial"/>
        <w:sz w:val="20"/>
        <w:szCs w:val="20"/>
      </w:rPr>
      <w:t xml:space="preserve"> Recovery Plan</w:t>
    </w:r>
    <w:r>
      <w:rPr>
        <w:rFonts w:ascii="Arial" w:hAnsi="Arial" w:cs="Arial"/>
        <w:sz w:val="20"/>
        <w:szCs w:val="20"/>
      </w:rPr>
      <w:t xml:space="preserve"> Performance Report</w:t>
    </w:r>
    <w:r w:rsidRPr="00F366B0">
      <w:rPr>
        <w:rFonts w:ascii="Arial" w:hAnsi="Arial" w:cs="Arial"/>
        <w:sz w:val="20"/>
        <w:szCs w:val="20"/>
      </w:rPr>
      <w:tab/>
    </w:r>
    <w:sdt>
      <w:sdtPr>
        <w:rPr>
          <w:rFonts w:ascii="Arial" w:hAnsi="Arial" w:cs="Arial"/>
          <w:sz w:val="20"/>
          <w:szCs w:val="20"/>
        </w:rPr>
        <w:id w:val="-738778960"/>
        <w:docPartObj>
          <w:docPartGallery w:val="Page Numbers (Bottom of Page)"/>
          <w:docPartUnique/>
        </w:docPartObj>
      </w:sdtPr>
      <w:sdtEndPr>
        <w:rPr>
          <w:noProof/>
        </w:rPr>
      </w:sdtEndPr>
      <w:sdtContent>
        <w:r w:rsidRPr="00F366B0">
          <w:rPr>
            <w:rFonts w:ascii="Arial" w:hAnsi="Arial" w:cs="Arial"/>
            <w:sz w:val="20"/>
            <w:szCs w:val="20"/>
          </w:rPr>
          <w:fldChar w:fldCharType="begin"/>
        </w:r>
        <w:r w:rsidRPr="00F366B0">
          <w:rPr>
            <w:rFonts w:ascii="Arial" w:hAnsi="Arial" w:cs="Arial"/>
            <w:sz w:val="20"/>
            <w:szCs w:val="20"/>
          </w:rPr>
          <w:instrText xml:space="preserve"> PAGE   \* MERGEFORMAT </w:instrText>
        </w:r>
        <w:r w:rsidRPr="00F366B0">
          <w:rPr>
            <w:rFonts w:ascii="Arial" w:hAnsi="Arial" w:cs="Arial"/>
            <w:sz w:val="20"/>
            <w:szCs w:val="20"/>
          </w:rPr>
          <w:fldChar w:fldCharType="separate"/>
        </w:r>
        <w:r w:rsidR="00081E86">
          <w:rPr>
            <w:rFonts w:ascii="Arial" w:hAnsi="Arial" w:cs="Arial"/>
            <w:noProof/>
            <w:sz w:val="20"/>
            <w:szCs w:val="20"/>
          </w:rPr>
          <w:t>15</w:t>
        </w:r>
        <w:r w:rsidRPr="00F366B0">
          <w:rPr>
            <w:rFonts w:ascii="Arial" w:hAnsi="Arial" w:cs="Arial"/>
            <w:noProof/>
            <w:sz w:val="20"/>
            <w:szCs w:val="20"/>
          </w:rPr>
          <w:fldChar w:fldCharType="end"/>
        </w:r>
        <w:r w:rsidRPr="00FD4AA2">
          <w:rPr>
            <w:b/>
            <w:bCs/>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2A39" w14:textId="77777777" w:rsidR="00EA6F3A" w:rsidRPr="00F366B0" w:rsidRDefault="00EA6F3A" w:rsidP="00FD4AA2">
    <w:pPr>
      <w:pStyle w:val="Header"/>
      <w:rPr>
        <w:rFonts w:ascii="Arial" w:hAnsi="Arial" w:cs="Arial"/>
      </w:rPr>
    </w:pPr>
  </w:p>
  <w:p w14:paraId="1004145F" w14:textId="39D182C7" w:rsidR="00EA6F3A" w:rsidRPr="00361A07" w:rsidRDefault="00EA6F3A" w:rsidP="0036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4B29" w14:textId="77777777" w:rsidR="00C86E4A" w:rsidRDefault="00C86E4A" w:rsidP="00B90454">
      <w:pPr>
        <w:spacing w:after="0" w:line="240" w:lineRule="auto"/>
      </w:pPr>
      <w:r>
        <w:separator/>
      </w:r>
    </w:p>
  </w:footnote>
  <w:footnote w:type="continuationSeparator" w:id="0">
    <w:p w14:paraId="2B95802C" w14:textId="77777777" w:rsidR="00C86E4A" w:rsidRDefault="00C86E4A" w:rsidP="00B90454">
      <w:pPr>
        <w:spacing w:after="0" w:line="240" w:lineRule="auto"/>
      </w:pPr>
      <w:r>
        <w:continuationSeparator/>
      </w:r>
    </w:p>
  </w:footnote>
  <w:footnote w:type="continuationNotice" w:id="1">
    <w:p w14:paraId="6A854D1A" w14:textId="77777777" w:rsidR="00C86E4A" w:rsidRDefault="00C86E4A">
      <w:pPr>
        <w:spacing w:after="0" w:line="240" w:lineRule="auto"/>
      </w:pPr>
    </w:p>
  </w:footnote>
  <w:footnote w:id="2">
    <w:p w14:paraId="471596C4" w14:textId="77777777" w:rsidR="0061601A" w:rsidRDefault="0061601A" w:rsidP="0061601A">
      <w:pPr>
        <w:pStyle w:val="FootnoteText"/>
      </w:pPr>
      <w:r>
        <w:rPr>
          <w:rStyle w:val="FootnoteReference"/>
        </w:rPr>
        <w:footnoteRef/>
      </w:r>
      <w:r>
        <w:t xml:space="preserve"> </w:t>
      </w:r>
      <w:r w:rsidRPr="00C741C3">
        <w:t>C</w:t>
      </w:r>
      <w:r>
        <w:t xml:space="preserve">enters for Disease Control, 2019 </w:t>
      </w:r>
      <w:r w:rsidRPr="00C741C3">
        <w:t xml:space="preserve">Summary Health Statistics: National Health Interview Survey: 2017. Table A-7. Retrieved from </w:t>
      </w:r>
      <w:r w:rsidRPr="00C741C3">
        <w:rPr>
          <w:u w:val="single"/>
        </w:rPr>
        <w:t>https://www.cdc.gov/nchs/nhis/shs/tables.htm</w:t>
      </w:r>
      <w:r w:rsidRPr="00C741C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F1D"/>
    <w:multiLevelType w:val="hybridMultilevel"/>
    <w:tmpl w:val="3DC40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65F3"/>
    <w:multiLevelType w:val="hybridMultilevel"/>
    <w:tmpl w:val="E7B244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572F3C"/>
    <w:multiLevelType w:val="hybridMultilevel"/>
    <w:tmpl w:val="A49C8A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187812"/>
    <w:multiLevelType w:val="hybridMultilevel"/>
    <w:tmpl w:val="185E2AA4"/>
    <w:lvl w:ilvl="0" w:tplc="89EE1B24">
      <w:start w:val="1"/>
      <w:numFmt w:val="decimal"/>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52283720">
      <w:start w:val="1"/>
      <w:numFmt w:val="upperLetter"/>
      <w:lvlText w:val="%4."/>
      <w:lvlJc w:val="left"/>
      <w:pPr>
        <w:ind w:left="10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BC5B3C"/>
    <w:multiLevelType w:val="hybridMultilevel"/>
    <w:tmpl w:val="A4DC09F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032C86"/>
    <w:multiLevelType w:val="hybridMultilevel"/>
    <w:tmpl w:val="9E06B6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345CCA"/>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890CCE"/>
    <w:multiLevelType w:val="hybridMultilevel"/>
    <w:tmpl w:val="001A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B71E2"/>
    <w:multiLevelType w:val="hybridMultilevel"/>
    <w:tmpl w:val="7AB62D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9" w15:restartNumberingAfterBreak="0">
    <w:nsid w:val="23054167"/>
    <w:multiLevelType w:val="hybridMultilevel"/>
    <w:tmpl w:val="86DAB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5B788E"/>
    <w:multiLevelType w:val="hybridMultilevel"/>
    <w:tmpl w:val="827A009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651A63"/>
    <w:multiLevelType w:val="hybridMultilevel"/>
    <w:tmpl w:val="D868D05A"/>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250319"/>
    <w:multiLevelType w:val="hybridMultilevel"/>
    <w:tmpl w:val="B3845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67C66"/>
    <w:multiLevelType w:val="hybridMultilevel"/>
    <w:tmpl w:val="49E2B660"/>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27F50"/>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6E6739"/>
    <w:multiLevelType w:val="hybridMultilevel"/>
    <w:tmpl w:val="9406259A"/>
    <w:lvl w:ilvl="0" w:tplc="B5BC8C8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 w15:restartNumberingAfterBreak="0">
    <w:nsid w:val="36A643FF"/>
    <w:multiLevelType w:val="hybridMultilevel"/>
    <w:tmpl w:val="BD70E862"/>
    <w:lvl w:ilvl="0" w:tplc="7602A0A6">
      <w:start w:val="1"/>
      <w:numFmt w:val="bullet"/>
      <w:lvlText w:val="•"/>
      <w:lvlJc w:val="left"/>
      <w:pPr>
        <w:tabs>
          <w:tab w:val="num" w:pos="720"/>
        </w:tabs>
        <w:ind w:left="720" w:hanging="360"/>
      </w:pPr>
      <w:rPr>
        <w:rFonts w:ascii="Arial" w:hAnsi="Arial" w:hint="default"/>
      </w:rPr>
    </w:lvl>
    <w:lvl w:ilvl="1" w:tplc="B0704BC2" w:tentative="1">
      <w:start w:val="1"/>
      <w:numFmt w:val="bullet"/>
      <w:lvlText w:val="•"/>
      <w:lvlJc w:val="left"/>
      <w:pPr>
        <w:tabs>
          <w:tab w:val="num" w:pos="1440"/>
        </w:tabs>
        <w:ind w:left="1440" w:hanging="360"/>
      </w:pPr>
      <w:rPr>
        <w:rFonts w:ascii="Arial" w:hAnsi="Arial" w:hint="default"/>
      </w:rPr>
    </w:lvl>
    <w:lvl w:ilvl="2" w:tplc="DBEEC58E" w:tentative="1">
      <w:start w:val="1"/>
      <w:numFmt w:val="bullet"/>
      <w:lvlText w:val="•"/>
      <w:lvlJc w:val="left"/>
      <w:pPr>
        <w:tabs>
          <w:tab w:val="num" w:pos="2160"/>
        </w:tabs>
        <w:ind w:left="2160" w:hanging="360"/>
      </w:pPr>
      <w:rPr>
        <w:rFonts w:ascii="Arial" w:hAnsi="Arial" w:hint="default"/>
      </w:rPr>
    </w:lvl>
    <w:lvl w:ilvl="3" w:tplc="80604144" w:tentative="1">
      <w:start w:val="1"/>
      <w:numFmt w:val="bullet"/>
      <w:lvlText w:val="•"/>
      <w:lvlJc w:val="left"/>
      <w:pPr>
        <w:tabs>
          <w:tab w:val="num" w:pos="2880"/>
        </w:tabs>
        <w:ind w:left="2880" w:hanging="360"/>
      </w:pPr>
      <w:rPr>
        <w:rFonts w:ascii="Arial" w:hAnsi="Arial" w:hint="default"/>
      </w:rPr>
    </w:lvl>
    <w:lvl w:ilvl="4" w:tplc="52420B98" w:tentative="1">
      <w:start w:val="1"/>
      <w:numFmt w:val="bullet"/>
      <w:lvlText w:val="•"/>
      <w:lvlJc w:val="left"/>
      <w:pPr>
        <w:tabs>
          <w:tab w:val="num" w:pos="3600"/>
        </w:tabs>
        <w:ind w:left="3600" w:hanging="360"/>
      </w:pPr>
      <w:rPr>
        <w:rFonts w:ascii="Arial" w:hAnsi="Arial" w:hint="default"/>
      </w:rPr>
    </w:lvl>
    <w:lvl w:ilvl="5" w:tplc="4B4062E2" w:tentative="1">
      <w:start w:val="1"/>
      <w:numFmt w:val="bullet"/>
      <w:lvlText w:val="•"/>
      <w:lvlJc w:val="left"/>
      <w:pPr>
        <w:tabs>
          <w:tab w:val="num" w:pos="4320"/>
        </w:tabs>
        <w:ind w:left="4320" w:hanging="360"/>
      </w:pPr>
      <w:rPr>
        <w:rFonts w:ascii="Arial" w:hAnsi="Arial" w:hint="default"/>
      </w:rPr>
    </w:lvl>
    <w:lvl w:ilvl="6" w:tplc="CF9E58A0" w:tentative="1">
      <w:start w:val="1"/>
      <w:numFmt w:val="bullet"/>
      <w:lvlText w:val="•"/>
      <w:lvlJc w:val="left"/>
      <w:pPr>
        <w:tabs>
          <w:tab w:val="num" w:pos="5040"/>
        </w:tabs>
        <w:ind w:left="5040" w:hanging="360"/>
      </w:pPr>
      <w:rPr>
        <w:rFonts w:ascii="Arial" w:hAnsi="Arial" w:hint="default"/>
      </w:rPr>
    </w:lvl>
    <w:lvl w:ilvl="7" w:tplc="8B70EB9C" w:tentative="1">
      <w:start w:val="1"/>
      <w:numFmt w:val="bullet"/>
      <w:lvlText w:val="•"/>
      <w:lvlJc w:val="left"/>
      <w:pPr>
        <w:tabs>
          <w:tab w:val="num" w:pos="5760"/>
        </w:tabs>
        <w:ind w:left="5760" w:hanging="360"/>
      </w:pPr>
      <w:rPr>
        <w:rFonts w:ascii="Arial" w:hAnsi="Arial" w:hint="default"/>
      </w:rPr>
    </w:lvl>
    <w:lvl w:ilvl="8" w:tplc="7A521A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1300BB"/>
    <w:multiLevelType w:val="hybridMultilevel"/>
    <w:tmpl w:val="DA42D2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6D78C5"/>
    <w:multiLevelType w:val="hybridMultilevel"/>
    <w:tmpl w:val="D7FC6ED4"/>
    <w:lvl w:ilvl="0" w:tplc="04090019">
      <w:start w:val="1"/>
      <w:numFmt w:val="low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3D325994"/>
    <w:multiLevelType w:val="hybridMultilevel"/>
    <w:tmpl w:val="BD56105E"/>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F55D7"/>
    <w:multiLevelType w:val="hybridMultilevel"/>
    <w:tmpl w:val="74D8DDD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D77A5"/>
    <w:multiLevelType w:val="hybridMultilevel"/>
    <w:tmpl w:val="3918E100"/>
    <w:lvl w:ilvl="0" w:tplc="89EE1B24">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9">
      <w:start w:val="1"/>
      <w:numFmt w:val="lowerLetter"/>
      <w:lvlText w:val="%3."/>
      <w:lvlJc w:val="left"/>
      <w:pPr>
        <w:ind w:left="3960" w:hanging="180"/>
      </w:pPr>
    </w:lvl>
    <w:lvl w:ilvl="3" w:tplc="04090001">
      <w:start w:val="1"/>
      <w:numFmt w:val="bullet"/>
      <w:lvlText w:val=""/>
      <w:lvlJc w:val="left"/>
      <w:pPr>
        <w:ind w:left="4680" w:hanging="360"/>
      </w:pPr>
      <w:rPr>
        <w:rFonts w:ascii="Symbol" w:hAnsi="Symbol"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E0A44BC"/>
    <w:multiLevelType w:val="hybridMultilevel"/>
    <w:tmpl w:val="9D88F092"/>
    <w:lvl w:ilvl="0" w:tplc="DB80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540CA"/>
    <w:multiLevelType w:val="hybridMultilevel"/>
    <w:tmpl w:val="ABBC012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62EF5"/>
    <w:multiLevelType w:val="hybridMultilevel"/>
    <w:tmpl w:val="529231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C710A4"/>
    <w:multiLevelType w:val="hybridMultilevel"/>
    <w:tmpl w:val="1FEE3EB2"/>
    <w:lvl w:ilvl="0" w:tplc="143A3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072A2"/>
    <w:multiLevelType w:val="hybridMultilevel"/>
    <w:tmpl w:val="DEE0D86A"/>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508A6"/>
    <w:multiLevelType w:val="hybridMultilevel"/>
    <w:tmpl w:val="D8BC51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7D4454"/>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510980"/>
    <w:multiLevelType w:val="hybridMultilevel"/>
    <w:tmpl w:val="5AD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64215"/>
    <w:multiLevelType w:val="hybridMultilevel"/>
    <w:tmpl w:val="A5E4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0B0DAB"/>
    <w:multiLevelType w:val="hybridMultilevel"/>
    <w:tmpl w:val="19DC75AC"/>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EB61DD"/>
    <w:multiLevelType w:val="hybridMultilevel"/>
    <w:tmpl w:val="4C76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669DF"/>
    <w:multiLevelType w:val="hybridMultilevel"/>
    <w:tmpl w:val="80829DCA"/>
    <w:lvl w:ilvl="0" w:tplc="45C4F9CC">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4" w15:restartNumberingAfterBreak="0">
    <w:nsid w:val="52AA0B70"/>
    <w:multiLevelType w:val="hybridMultilevel"/>
    <w:tmpl w:val="3930438E"/>
    <w:lvl w:ilvl="0" w:tplc="A58EB712">
      <w:start w:val="7"/>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512463"/>
    <w:multiLevelType w:val="hybridMultilevel"/>
    <w:tmpl w:val="E612F718"/>
    <w:lvl w:ilvl="0" w:tplc="54B40A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46A5B"/>
    <w:multiLevelType w:val="hybridMultilevel"/>
    <w:tmpl w:val="CCA2128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795BD5"/>
    <w:multiLevelType w:val="hybridMultilevel"/>
    <w:tmpl w:val="864A2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FA3622"/>
    <w:multiLevelType w:val="hybridMultilevel"/>
    <w:tmpl w:val="057835F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6129BB"/>
    <w:multiLevelType w:val="hybridMultilevel"/>
    <w:tmpl w:val="4F24794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C20A4D"/>
    <w:multiLevelType w:val="hybridMultilevel"/>
    <w:tmpl w:val="B296A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35F73EC"/>
    <w:multiLevelType w:val="hybridMultilevel"/>
    <w:tmpl w:val="85D81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5F06EB8"/>
    <w:multiLevelType w:val="hybridMultilevel"/>
    <w:tmpl w:val="D526BC48"/>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593983"/>
    <w:multiLevelType w:val="hybridMultilevel"/>
    <w:tmpl w:val="2168DC34"/>
    <w:lvl w:ilvl="0" w:tplc="0409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4" w15:restartNumberingAfterBreak="0">
    <w:nsid w:val="70D9175C"/>
    <w:multiLevelType w:val="hybridMultilevel"/>
    <w:tmpl w:val="C1F09E32"/>
    <w:lvl w:ilvl="0" w:tplc="7986A02C">
      <w:start w:val="1"/>
      <w:numFmt w:val="lowerRoman"/>
      <w:lvlText w:val="%1."/>
      <w:lvlJc w:val="righ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4C45337"/>
    <w:multiLevelType w:val="hybridMultilevel"/>
    <w:tmpl w:val="72968376"/>
    <w:lvl w:ilvl="0" w:tplc="3BE06B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3E06C4"/>
    <w:multiLevelType w:val="hybridMultilevel"/>
    <w:tmpl w:val="74A8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461556">
    <w:abstractNumId w:val="46"/>
  </w:num>
  <w:num w:numId="2" w16cid:durableId="128941368">
    <w:abstractNumId w:val="34"/>
  </w:num>
  <w:num w:numId="3" w16cid:durableId="312566859">
    <w:abstractNumId w:val="3"/>
  </w:num>
  <w:num w:numId="4" w16cid:durableId="208958146">
    <w:abstractNumId w:val="21"/>
  </w:num>
  <w:num w:numId="5" w16cid:durableId="76636524">
    <w:abstractNumId w:val="6"/>
  </w:num>
  <w:num w:numId="6" w16cid:durableId="891578652">
    <w:abstractNumId w:val="17"/>
  </w:num>
  <w:num w:numId="7" w16cid:durableId="1752770473">
    <w:abstractNumId w:val="36"/>
  </w:num>
  <w:num w:numId="8" w16cid:durableId="1976793993">
    <w:abstractNumId w:val="22"/>
  </w:num>
  <w:num w:numId="9" w16cid:durableId="413556437">
    <w:abstractNumId w:val="26"/>
  </w:num>
  <w:num w:numId="10" w16cid:durableId="26875922">
    <w:abstractNumId w:val="28"/>
  </w:num>
  <w:num w:numId="11" w16cid:durableId="1045065728">
    <w:abstractNumId w:val="20"/>
  </w:num>
  <w:num w:numId="12" w16cid:durableId="1249118411">
    <w:abstractNumId w:val="12"/>
  </w:num>
  <w:num w:numId="13" w16cid:durableId="1456170510">
    <w:abstractNumId w:val="24"/>
  </w:num>
  <w:num w:numId="14" w16cid:durableId="430512579">
    <w:abstractNumId w:val="16"/>
  </w:num>
  <w:num w:numId="15" w16cid:durableId="1926915354">
    <w:abstractNumId w:val="13"/>
  </w:num>
  <w:num w:numId="16" w16cid:durableId="970549884">
    <w:abstractNumId w:val="19"/>
  </w:num>
  <w:num w:numId="17" w16cid:durableId="1463033928">
    <w:abstractNumId w:val="14"/>
  </w:num>
  <w:num w:numId="18" w16cid:durableId="448595016">
    <w:abstractNumId w:val="33"/>
  </w:num>
  <w:num w:numId="19" w16cid:durableId="1811484372">
    <w:abstractNumId w:val="45"/>
  </w:num>
  <w:num w:numId="20" w16cid:durableId="1715155126">
    <w:abstractNumId w:val="0"/>
  </w:num>
  <w:num w:numId="21" w16cid:durableId="890338854">
    <w:abstractNumId w:val="1"/>
  </w:num>
  <w:num w:numId="22" w16cid:durableId="364450129">
    <w:abstractNumId w:val="29"/>
  </w:num>
  <w:num w:numId="23" w16cid:durableId="936252120">
    <w:abstractNumId w:val="23"/>
  </w:num>
  <w:num w:numId="24" w16cid:durableId="940258708">
    <w:abstractNumId w:val="39"/>
  </w:num>
  <w:num w:numId="25" w16cid:durableId="1968584400">
    <w:abstractNumId w:val="31"/>
  </w:num>
  <w:num w:numId="26" w16cid:durableId="248588522">
    <w:abstractNumId w:val="38"/>
  </w:num>
  <w:num w:numId="27" w16cid:durableId="2048026230">
    <w:abstractNumId w:val="37"/>
  </w:num>
  <w:num w:numId="28" w16cid:durableId="217395959">
    <w:abstractNumId w:val="44"/>
  </w:num>
  <w:num w:numId="29" w16cid:durableId="1779788043">
    <w:abstractNumId w:val="32"/>
  </w:num>
  <w:num w:numId="30" w16cid:durableId="225146722">
    <w:abstractNumId w:val="8"/>
  </w:num>
  <w:num w:numId="31" w16cid:durableId="148443702">
    <w:abstractNumId w:val="18"/>
  </w:num>
  <w:num w:numId="32" w16cid:durableId="1989892324">
    <w:abstractNumId w:val="43"/>
  </w:num>
  <w:num w:numId="33" w16cid:durableId="1527063450">
    <w:abstractNumId w:val="27"/>
  </w:num>
  <w:num w:numId="34" w16cid:durableId="561604907">
    <w:abstractNumId w:val="5"/>
  </w:num>
  <w:num w:numId="35" w16cid:durableId="1605382903">
    <w:abstractNumId w:val="4"/>
  </w:num>
  <w:num w:numId="36" w16cid:durableId="963147789">
    <w:abstractNumId w:val="10"/>
  </w:num>
  <w:num w:numId="37" w16cid:durableId="383598631">
    <w:abstractNumId w:val="11"/>
  </w:num>
  <w:num w:numId="38" w16cid:durableId="450516113">
    <w:abstractNumId w:val="42"/>
  </w:num>
  <w:num w:numId="39" w16cid:durableId="1609502724">
    <w:abstractNumId w:val="15"/>
  </w:num>
  <w:num w:numId="40" w16cid:durableId="611783584">
    <w:abstractNumId w:val="41"/>
  </w:num>
  <w:num w:numId="41" w16cid:durableId="125590669">
    <w:abstractNumId w:val="30"/>
  </w:num>
  <w:num w:numId="42" w16cid:durableId="575280796">
    <w:abstractNumId w:val="7"/>
  </w:num>
  <w:num w:numId="43" w16cid:durableId="1762988523">
    <w:abstractNumId w:val="9"/>
  </w:num>
  <w:num w:numId="44" w16cid:durableId="629825557">
    <w:abstractNumId w:val="40"/>
  </w:num>
  <w:num w:numId="45" w16cid:durableId="1533882400">
    <w:abstractNumId w:val="2"/>
  </w:num>
  <w:num w:numId="46" w16cid:durableId="603614138">
    <w:abstractNumId w:val="25"/>
  </w:num>
  <w:num w:numId="47" w16cid:durableId="183784562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Q0tDCwNDUxMjVX0lEKTi0uzszPAykwqgUAXpmzmCwAAAA="/>
  </w:docVars>
  <w:rsids>
    <w:rsidRoot w:val="00B90454"/>
    <w:rsid w:val="00000EE9"/>
    <w:rsid w:val="000045FB"/>
    <w:rsid w:val="00005DDA"/>
    <w:rsid w:val="000134C6"/>
    <w:rsid w:val="00013AE4"/>
    <w:rsid w:val="00013F99"/>
    <w:rsid w:val="00016BA1"/>
    <w:rsid w:val="0002072A"/>
    <w:rsid w:val="00020CB6"/>
    <w:rsid w:val="00023F35"/>
    <w:rsid w:val="0002440A"/>
    <w:rsid w:val="000323EA"/>
    <w:rsid w:val="00033A2C"/>
    <w:rsid w:val="00036DDA"/>
    <w:rsid w:val="00037961"/>
    <w:rsid w:val="0004009D"/>
    <w:rsid w:val="000405AA"/>
    <w:rsid w:val="000408FE"/>
    <w:rsid w:val="00040C6C"/>
    <w:rsid w:val="00041B74"/>
    <w:rsid w:val="00045804"/>
    <w:rsid w:val="00045E1C"/>
    <w:rsid w:val="0004614B"/>
    <w:rsid w:val="0004672F"/>
    <w:rsid w:val="000475E8"/>
    <w:rsid w:val="000503BD"/>
    <w:rsid w:val="00053FDC"/>
    <w:rsid w:val="00055A98"/>
    <w:rsid w:val="00062656"/>
    <w:rsid w:val="00066ECB"/>
    <w:rsid w:val="00070796"/>
    <w:rsid w:val="000715D5"/>
    <w:rsid w:val="00071FDC"/>
    <w:rsid w:val="000740D8"/>
    <w:rsid w:val="000757DE"/>
    <w:rsid w:val="0007601B"/>
    <w:rsid w:val="00081E86"/>
    <w:rsid w:val="00086A95"/>
    <w:rsid w:val="00087176"/>
    <w:rsid w:val="000872B1"/>
    <w:rsid w:val="00091A43"/>
    <w:rsid w:val="00091EB5"/>
    <w:rsid w:val="000964EA"/>
    <w:rsid w:val="000A001D"/>
    <w:rsid w:val="000A0B3B"/>
    <w:rsid w:val="000A0D3F"/>
    <w:rsid w:val="000A1EC0"/>
    <w:rsid w:val="000A2B08"/>
    <w:rsid w:val="000A5ABC"/>
    <w:rsid w:val="000A5D3F"/>
    <w:rsid w:val="000B0FBF"/>
    <w:rsid w:val="000B41E4"/>
    <w:rsid w:val="000B43C7"/>
    <w:rsid w:val="000C078D"/>
    <w:rsid w:val="000C1A11"/>
    <w:rsid w:val="000C3740"/>
    <w:rsid w:val="000C7531"/>
    <w:rsid w:val="000D0958"/>
    <w:rsid w:val="000D1E66"/>
    <w:rsid w:val="000D21FF"/>
    <w:rsid w:val="000D31C8"/>
    <w:rsid w:val="000D3F12"/>
    <w:rsid w:val="000D5758"/>
    <w:rsid w:val="000E12F1"/>
    <w:rsid w:val="000E4787"/>
    <w:rsid w:val="000E4C85"/>
    <w:rsid w:val="000E56D4"/>
    <w:rsid w:val="000F309B"/>
    <w:rsid w:val="000F3DBE"/>
    <w:rsid w:val="000F5956"/>
    <w:rsid w:val="000F6FCF"/>
    <w:rsid w:val="000F7B54"/>
    <w:rsid w:val="001043F8"/>
    <w:rsid w:val="00105C90"/>
    <w:rsid w:val="00107A0E"/>
    <w:rsid w:val="001102B6"/>
    <w:rsid w:val="0011333D"/>
    <w:rsid w:val="00115A1B"/>
    <w:rsid w:val="00116941"/>
    <w:rsid w:val="001179D8"/>
    <w:rsid w:val="0012141C"/>
    <w:rsid w:val="00122ADE"/>
    <w:rsid w:val="0012462E"/>
    <w:rsid w:val="00127A3A"/>
    <w:rsid w:val="001306D4"/>
    <w:rsid w:val="00134741"/>
    <w:rsid w:val="0013531A"/>
    <w:rsid w:val="00135C72"/>
    <w:rsid w:val="0013742E"/>
    <w:rsid w:val="001421C0"/>
    <w:rsid w:val="00142B63"/>
    <w:rsid w:val="001455A3"/>
    <w:rsid w:val="0014588E"/>
    <w:rsid w:val="00146311"/>
    <w:rsid w:val="00152139"/>
    <w:rsid w:val="00153B5A"/>
    <w:rsid w:val="00156F9E"/>
    <w:rsid w:val="00157236"/>
    <w:rsid w:val="00157A0B"/>
    <w:rsid w:val="00167010"/>
    <w:rsid w:val="0016793D"/>
    <w:rsid w:val="00174FBD"/>
    <w:rsid w:val="00180A6A"/>
    <w:rsid w:val="00181838"/>
    <w:rsid w:val="00181946"/>
    <w:rsid w:val="001834EC"/>
    <w:rsid w:val="001851B5"/>
    <w:rsid w:val="00186100"/>
    <w:rsid w:val="00187342"/>
    <w:rsid w:val="001921E7"/>
    <w:rsid w:val="00193461"/>
    <w:rsid w:val="001953F2"/>
    <w:rsid w:val="0019543C"/>
    <w:rsid w:val="00195853"/>
    <w:rsid w:val="001976FF"/>
    <w:rsid w:val="001A180C"/>
    <w:rsid w:val="001A5303"/>
    <w:rsid w:val="001B05D1"/>
    <w:rsid w:val="001B0D4D"/>
    <w:rsid w:val="001B3814"/>
    <w:rsid w:val="001B4963"/>
    <w:rsid w:val="001B5241"/>
    <w:rsid w:val="001B53C0"/>
    <w:rsid w:val="001B678F"/>
    <w:rsid w:val="001C0603"/>
    <w:rsid w:val="001C2C65"/>
    <w:rsid w:val="001C2E47"/>
    <w:rsid w:val="001C5399"/>
    <w:rsid w:val="001C5936"/>
    <w:rsid w:val="001C63D1"/>
    <w:rsid w:val="001D0489"/>
    <w:rsid w:val="001D12EF"/>
    <w:rsid w:val="001D439C"/>
    <w:rsid w:val="001D790A"/>
    <w:rsid w:val="001E1672"/>
    <w:rsid w:val="001E2186"/>
    <w:rsid w:val="001E4EDD"/>
    <w:rsid w:val="001E5F72"/>
    <w:rsid w:val="001F0CBB"/>
    <w:rsid w:val="001F2B9A"/>
    <w:rsid w:val="001F5FB4"/>
    <w:rsid w:val="001F74F7"/>
    <w:rsid w:val="0020011A"/>
    <w:rsid w:val="00202D80"/>
    <w:rsid w:val="002053A7"/>
    <w:rsid w:val="00205558"/>
    <w:rsid w:val="002057A1"/>
    <w:rsid w:val="00205E08"/>
    <w:rsid w:val="002060C0"/>
    <w:rsid w:val="002073B9"/>
    <w:rsid w:val="0020797C"/>
    <w:rsid w:val="002102E2"/>
    <w:rsid w:val="00210D26"/>
    <w:rsid w:val="00210FF3"/>
    <w:rsid w:val="002115E5"/>
    <w:rsid w:val="002127B8"/>
    <w:rsid w:val="00214A9C"/>
    <w:rsid w:val="00214F0B"/>
    <w:rsid w:val="002155DE"/>
    <w:rsid w:val="00220F5E"/>
    <w:rsid w:val="00221E52"/>
    <w:rsid w:val="002237F4"/>
    <w:rsid w:val="00224545"/>
    <w:rsid w:val="002301A1"/>
    <w:rsid w:val="00230EA7"/>
    <w:rsid w:val="00232DBF"/>
    <w:rsid w:val="0023366A"/>
    <w:rsid w:val="00235E7C"/>
    <w:rsid w:val="00236E54"/>
    <w:rsid w:val="002408E9"/>
    <w:rsid w:val="00243103"/>
    <w:rsid w:val="002518EC"/>
    <w:rsid w:val="0025465E"/>
    <w:rsid w:val="00255128"/>
    <w:rsid w:val="00255F2B"/>
    <w:rsid w:val="0025676B"/>
    <w:rsid w:val="00256D21"/>
    <w:rsid w:val="00262A08"/>
    <w:rsid w:val="00263185"/>
    <w:rsid w:val="002704EB"/>
    <w:rsid w:val="002740E9"/>
    <w:rsid w:val="00274264"/>
    <w:rsid w:val="00276A88"/>
    <w:rsid w:val="00276FEA"/>
    <w:rsid w:val="00277340"/>
    <w:rsid w:val="0027743F"/>
    <w:rsid w:val="00282A1A"/>
    <w:rsid w:val="002853E4"/>
    <w:rsid w:val="00285473"/>
    <w:rsid w:val="002911A8"/>
    <w:rsid w:val="00295F92"/>
    <w:rsid w:val="00296209"/>
    <w:rsid w:val="002A40A5"/>
    <w:rsid w:val="002B1E50"/>
    <w:rsid w:val="002B2F1A"/>
    <w:rsid w:val="002B3183"/>
    <w:rsid w:val="002B3266"/>
    <w:rsid w:val="002B3499"/>
    <w:rsid w:val="002B3ECF"/>
    <w:rsid w:val="002B7846"/>
    <w:rsid w:val="002C3F01"/>
    <w:rsid w:val="002D270A"/>
    <w:rsid w:val="002E00DC"/>
    <w:rsid w:val="002E2502"/>
    <w:rsid w:val="002E6B3C"/>
    <w:rsid w:val="002E7250"/>
    <w:rsid w:val="002F19DB"/>
    <w:rsid w:val="002F4825"/>
    <w:rsid w:val="002F4FC8"/>
    <w:rsid w:val="00310255"/>
    <w:rsid w:val="003105A0"/>
    <w:rsid w:val="00311116"/>
    <w:rsid w:val="00314001"/>
    <w:rsid w:val="003149B7"/>
    <w:rsid w:val="00316438"/>
    <w:rsid w:val="00323326"/>
    <w:rsid w:val="00323AA7"/>
    <w:rsid w:val="00325380"/>
    <w:rsid w:val="00327DC4"/>
    <w:rsid w:val="00334F95"/>
    <w:rsid w:val="00340DBB"/>
    <w:rsid w:val="003448CB"/>
    <w:rsid w:val="00346623"/>
    <w:rsid w:val="00350845"/>
    <w:rsid w:val="00352219"/>
    <w:rsid w:val="0035556A"/>
    <w:rsid w:val="00356484"/>
    <w:rsid w:val="00357F38"/>
    <w:rsid w:val="0036160B"/>
    <w:rsid w:val="00361A07"/>
    <w:rsid w:val="00361C3C"/>
    <w:rsid w:val="00362EA5"/>
    <w:rsid w:val="00363C09"/>
    <w:rsid w:val="003642E8"/>
    <w:rsid w:val="00366787"/>
    <w:rsid w:val="0037222E"/>
    <w:rsid w:val="00375003"/>
    <w:rsid w:val="00375C18"/>
    <w:rsid w:val="00377B59"/>
    <w:rsid w:val="00380D62"/>
    <w:rsid w:val="00384708"/>
    <w:rsid w:val="003901CF"/>
    <w:rsid w:val="00391535"/>
    <w:rsid w:val="00392F4A"/>
    <w:rsid w:val="0039432A"/>
    <w:rsid w:val="00394AC8"/>
    <w:rsid w:val="00396FC2"/>
    <w:rsid w:val="003A00EB"/>
    <w:rsid w:val="003C1C7A"/>
    <w:rsid w:val="003C2C63"/>
    <w:rsid w:val="003C4F69"/>
    <w:rsid w:val="003C7B5E"/>
    <w:rsid w:val="003D029E"/>
    <w:rsid w:val="003D2CEA"/>
    <w:rsid w:val="003D6025"/>
    <w:rsid w:val="003D6716"/>
    <w:rsid w:val="003E3114"/>
    <w:rsid w:val="003E4AC8"/>
    <w:rsid w:val="003E5BC3"/>
    <w:rsid w:val="003E6D67"/>
    <w:rsid w:val="003E7641"/>
    <w:rsid w:val="003F4CED"/>
    <w:rsid w:val="003F614A"/>
    <w:rsid w:val="003F7C81"/>
    <w:rsid w:val="004028F0"/>
    <w:rsid w:val="0040556A"/>
    <w:rsid w:val="004059A0"/>
    <w:rsid w:val="00410DFB"/>
    <w:rsid w:val="00410F9B"/>
    <w:rsid w:val="00411C2B"/>
    <w:rsid w:val="00414DB5"/>
    <w:rsid w:val="00415E4A"/>
    <w:rsid w:val="004176FE"/>
    <w:rsid w:val="00417845"/>
    <w:rsid w:val="00417DE5"/>
    <w:rsid w:val="00423E8F"/>
    <w:rsid w:val="00424E35"/>
    <w:rsid w:val="0043191E"/>
    <w:rsid w:val="00431C77"/>
    <w:rsid w:val="0043229A"/>
    <w:rsid w:val="0043263C"/>
    <w:rsid w:val="00434D8F"/>
    <w:rsid w:val="00435045"/>
    <w:rsid w:val="00440AC1"/>
    <w:rsid w:val="004410CF"/>
    <w:rsid w:val="004414DE"/>
    <w:rsid w:val="004416A5"/>
    <w:rsid w:val="0044392C"/>
    <w:rsid w:val="004441A2"/>
    <w:rsid w:val="00444706"/>
    <w:rsid w:val="004552AD"/>
    <w:rsid w:val="00455AAA"/>
    <w:rsid w:val="00455E3C"/>
    <w:rsid w:val="004577BF"/>
    <w:rsid w:val="0046005F"/>
    <w:rsid w:val="00464C75"/>
    <w:rsid w:val="00466E9D"/>
    <w:rsid w:val="00476158"/>
    <w:rsid w:val="00476B16"/>
    <w:rsid w:val="00480CDE"/>
    <w:rsid w:val="00481D2E"/>
    <w:rsid w:val="00490CBC"/>
    <w:rsid w:val="00491AE7"/>
    <w:rsid w:val="004934E6"/>
    <w:rsid w:val="00493619"/>
    <w:rsid w:val="004A0A9B"/>
    <w:rsid w:val="004A78E7"/>
    <w:rsid w:val="004B5604"/>
    <w:rsid w:val="004C2C5A"/>
    <w:rsid w:val="004C5C83"/>
    <w:rsid w:val="004D4678"/>
    <w:rsid w:val="004E14AF"/>
    <w:rsid w:val="004E687E"/>
    <w:rsid w:val="004F75F7"/>
    <w:rsid w:val="004F7B0E"/>
    <w:rsid w:val="004F7CC6"/>
    <w:rsid w:val="004F7FD9"/>
    <w:rsid w:val="005016AF"/>
    <w:rsid w:val="00502AAA"/>
    <w:rsid w:val="00503165"/>
    <w:rsid w:val="00503B79"/>
    <w:rsid w:val="005073BC"/>
    <w:rsid w:val="00510C22"/>
    <w:rsid w:val="00511AC4"/>
    <w:rsid w:val="0051406B"/>
    <w:rsid w:val="00515942"/>
    <w:rsid w:val="00515BB6"/>
    <w:rsid w:val="00520093"/>
    <w:rsid w:val="0052203B"/>
    <w:rsid w:val="00525224"/>
    <w:rsid w:val="00525DF9"/>
    <w:rsid w:val="00525FD1"/>
    <w:rsid w:val="00527FC7"/>
    <w:rsid w:val="0053122B"/>
    <w:rsid w:val="0053178B"/>
    <w:rsid w:val="005328FF"/>
    <w:rsid w:val="005331E1"/>
    <w:rsid w:val="005362D8"/>
    <w:rsid w:val="005377FD"/>
    <w:rsid w:val="005413F3"/>
    <w:rsid w:val="00544E0A"/>
    <w:rsid w:val="00545584"/>
    <w:rsid w:val="005457C6"/>
    <w:rsid w:val="00545D8C"/>
    <w:rsid w:val="00546D70"/>
    <w:rsid w:val="00550213"/>
    <w:rsid w:val="005551A8"/>
    <w:rsid w:val="00555E60"/>
    <w:rsid w:val="00565AAB"/>
    <w:rsid w:val="00567F8B"/>
    <w:rsid w:val="00567FCA"/>
    <w:rsid w:val="00572BDA"/>
    <w:rsid w:val="00580129"/>
    <w:rsid w:val="00580B1B"/>
    <w:rsid w:val="00581B14"/>
    <w:rsid w:val="005859BA"/>
    <w:rsid w:val="0058704C"/>
    <w:rsid w:val="005904A1"/>
    <w:rsid w:val="00594787"/>
    <w:rsid w:val="00594FBE"/>
    <w:rsid w:val="005951A5"/>
    <w:rsid w:val="005A45C2"/>
    <w:rsid w:val="005A6618"/>
    <w:rsid w:val="005A7655"/>
    <w:rsid w:val="005A7995"/>
    <w:rsid w:val="005B2963"/>
    <w:rsid w:val="005B39FD"/>
    <w:rsid w:val="005B3A9D"/>
    <w:rsid w:val="005B4140"/>
    <w:rsid w:val="005C1E6F"/>
    <w:rsid w:val="005C36A6"/>
    <w:rsid w:val="005C4915"/>
    <w:rsid w:val="005C507D"/>
    <w:rsid w:val="005C6E8C"/>
    <w:rsid w:val="005C717D"/>
    <w:rsid w:val="005D389E"/>
    <w:rsid w:val="005D7930"/>
    <w:rsid w:val="005E047A"/>
    <w:rsid w:val="005E0C56"/>
    <w:rsid w:val="005E2C97"/>
    <w:rsid w:val="005E2E64"/>
    <w:rsid w:val="005E4664"/>
    <w:rsid w:val="005E46BD"/>
    <w:rsid w:val="005E5E97"/>
    <w:rsid w:val="005E6186"/>
    <w:rsid w:val="005F07A7"/>
    <w:rsid w:val="005F2039"/>
    <w:rsid w:val="005F4CE3"/>
    <w:rsid w:val="006018A4"/>
    <w:rsid w:val="00601A4A"/>
    <w:rsid w:val="00601E8C"/>
    <w:rsid w:val="00605000"/>
    <w:rsid w:val="006064E7"/>
    <w:rsid w:val="00607BA9"/>
    <w:rsid w:val="006109BE"/>
    <w:rsid w:val="006122AF"/>
    <w:rsid w:val="0061601A"/>
    <w:rsid w:val="0061715E"/>
    <w:rsid w:val="00621539"/>
    <w:rsid w:val="006224BF"/>
    <w:rsid w:val="00625D93"/>
    <w:rsid w:val="00626DCA"/>
    <w:rsid w:val="00630A7C"/>
    <w:rsid w:val="00630AFD"/>
    <w:rsid w:val="00631B77"/>
    <w:rsid w:val="006341BB"/>
    <w:rsid w:val="006371DF"/>
    <w:rsid w:val="00644110"/>
    <w:rsid w:val="00645A4F"/>
    <w:rsid w:val="00645E36"/>
    <w:rsid w:val="006468DD"/>
    <w:rsid w:val="00653207"/>
    <w:rsid w:val="00653AFC"/>
    <w:rsid w:val="00655F4F"/>
    <w:rsid w:val="00656703"/>
    <w:rsid w:val="00661917"/>
    <w:rsid w:val="00662CF3"/>
    <w:rsid w:val="00662D05"/>
    <w:rsid w:val="00664282"/>
    <w:rsid w:val="00666839"/>
    <w:rsid w:val="00666F7D"/>
    <w:rsid w:val="00673FD2"/>
    <w:rsid w:val="006760C1"/>
    <w:rsid w:val="00677D45"/>
    <w:rsid w:val="0068053D"/>
    <w:rsid w:val="006821DE"/>
    <w:rsid w:val="00687D88"/>
    <w:rsid w:val="00690192"/>
    <w:rsid w:val="00693BA7"/>
    <w:rsid w:val="00694D0B"/>
    <w:rsid w:val="00695623"/>
    <w:rsid w:val="0069665D"/>
    <w:rsid w:val="0069673A"/>
    <w:rsid w:val="00696D0F"/>
    <w:rsid w:val="006A00A1"/>
    <w:rsid w:val="006A291D"/>
    <w:rsid w:val="006A3000"/>
    <w:rsid w:val="006A3CE4"/>
    <w:rsid w:val="006A55AA"/>
    <w:rsid w:val="006A5D3B"/>
    <w:rsid w:val="006A67B2"/>
    <w:rsid w:val="006A69AA"/>
    <w:rsid w:val="006B288A"/>
    <w:rsid w:val="006B31FC"/>
    <w:rsid w:val="006B4BBE"/>
    <w:rsid w:val="006B56E8"/>
    <w:rsid w:val="006C0FF5"/>
    <w:rsid w:val="006C1B35"/>
    <w:rsid w:val="006C1B86"/>
    <w:rsid w:val="006C239D"/>
    <w:rsid w:val="006C4330"/>
    <w:rsid w:val="006D1405"/>
    <w:rsid w:val="006D5E04"/>
    <w:rsid w:val="006E3595"/>
    <w:rsid w:val="006E4971"/>
    <w:rsid w:val="006F0426"/>
    <w:rsid w:val="006F1246"/>
    <w:rsid w:val="006F5AC0"/>
    <w:rsid w:val="00705B86"/>
    <w:rsid w:val="00706903"/>
    <w:rsid w:val="00712D4A"/>
    <w:rsid w:val="00712EB6"/>
    <w:rsid w:val="00720FBB"/>
    <w:rsid w:val="00724924"/>
    <w:rsid w:val="007256EE"/>
    <w:rsid w:val="007338F2"/>
    <w:rsid w:val="00740FBF"/>
    <w:rsid w:val="007412F3"/>
    <w:rsid w:val="00743797"/>
    <w:rsid w:val="007466F9"/>
    <w:rsid w:val="00746F6B"/>
    <w:rsid w:val="00752BDC"/>
    <w:rsid w:val="0075341E"/>
    <w:rsid w:val="00755915"/>
    <w:rsid w:val="00755B1A"/>
    <w:rsid w:val="00756191"/>
    <w:rsid w:val="0075793F"/>
    <w:rsid w:val="00757DCF"/>
    <w:rsid w:val="00766A04"/>
    <w:rsid w:val="00771978"/>
    <w:rsid w:val="00773373"/>
    <w:rsid w:val="00780D15"/>
    <w:rsid w:val="0078323B"/>
    <w:rsid w:val="007842F9"/>
    <w:rsid w:val="007865E9"/>
    <w:rsid w:val="00790E51"/>
    <w:rsid w:val="00793A2C"/>
    <w:rsid w:val="007970C0"/>
    <w:rsid w:val="007A089F"/>
    <w:rsid w:val="007A3858"/>
    <w:rsid w:val="007A5AF5"/>
    <w:rsid w:val="007A7D10"/>
    <w:rsid w:val="007B0A68"/>
    <w:rsid w:val="007B0B05"/>
    <w:rsid w:val="007B31A1"/>
    <w:rsid w:val="007B4C54"/>
    <w:rsid w:val="007B6137"/>
    <w:rsid w:val="007C05D4"/>
    <w:rsid w:val="007C42F6"/>
    <w:rsid w:val="007C4FAE"/>
    <w:rsid w:val="007C684C"/>
    <w:rsid w:val="007C6B3B"/>
    <w:rsid w:val="007C6DF5"/>
    <w:rsid w:val="007D0AA6"/>
    <w:rsid w:val="007D2256"/>
    <w:rsid w:val="007D5D2F"/>
    <w:rsid w:val="007E66AB"/>
    <w:rsid w:val="007F0712"/>
    <w:rsid w:val="007F35E4"/>
    <w:rsid w:val="007F3667"/>
    <w:rsid w:val="007F58C1"/>
    <w:rsid w:val="007F5D26"/>
    <w:rsid w:val="007F5E02"/>
    <w:rsid w:val="007F687D"/>
    <w:rsid w:val="008070B9"/>
    <w:rsid w:val="00807346"/>
    <w:rsid w:val="008077F2"/>
    <w:rsid w:val="00810E2D"/>
    <w:rsid w:val="00812058"/>
    <w:rsid w:val="00812235"/>
    <w:rsid w:val="00813720"/>
    <w:rsid w:val="008145DC"/>
    <w:rsid w:val="008149EF"/>
    <w:rsid w:val="0082297A"/>
    <w:rsid w:val="00823901"/>
    <w:rsid w:val="00824786"/>
    <w:rsid w:val="00825EEF"/>
    <w:rsid w:val="00826725"/>
    <w:rsid w:val="00827A05"/>
    <w:rsid w:val="00827E66"/>
    <w:rsid w:val="00831C32"/>
    <w:rsid w:val="0083202A"/>
    <w:rsid w:val="00832B67"/>
    <w:rsid w:val="00835E26"/>
    <w:rsid w:val="00837964"/>
    <w:rsid w:val="0084060F"/>
    <w:rsid w:val="00843DA6"/>
    <w:rsid w:val="008449C3"/>
    <w:rsid w:val="008455EF"/>
    <w:rsid w:val="00845AA1"/>
    <w:rsid w:val="00847243"/>
    <w:rsid w:val="00851E85"/>
    <w:rsid w:val="00851F36"/>
    <w:rsid w:val="00852C0C"/>
    <w:rsid w:val="00852E47"/>
    <w:rsid w:val="00853163"/>
    <w:rsid w:val="00854D5D"/>
    <w:rsid w:val="00856061"/>
    <w:rsid w:val="00857179"/>
    <w:rsid w:val="00860D9B"/>
    <w:rsid w:val="00864DA8"/>
    <w:rsid w:val="00867665"/>
    <w:rsid w:val="00872390"/>
    <w:rsid w:val="00881303"/>
    <w:rsid w:val="00881A7B"/>
    <w:rsid w:val="008829B7"/>
    <w:rsid w:val="00884104"/>
    <w:rsid w:val="00887937"/>
    <w:rsid w:val="0089379F"/>
    <w:rsid w:val="00893E99"/>
    <w:rsid w:val="008942A1"/>
    <w:rsid w:val="00897C66"/>
    <w:rsid w:val="008A461F"/>
    <w:rsid w:val="008A4AE1"/>
    <w:rsid w:val="008A67CF"/>
    <w:rsid w:val="008B3839"/>
    <w:rsid w:val="008B5DFF"/>
    <w:rsid w:val="008B70C5"/>
    <w:rsid w:val="008B746D"/>
    <w:rsid w:val="008B74BB"/>
    <w:rsid w:val="008C1801"/>
    <w:rsid w:val="008C261F"/>
    <w:rsid w:val="008C48E1"/>
    <w:rsid w:val="008C49B2"/>
    <w:rsid w:val="008C5DBE"/>
    <w:rsid w:val="008E0E8A"/>
    <w:rsid w:val="008E32AF"/>
    <w:rsid w:val="008E469E"/>
    <w:rsid w:val="008E5E6A"/>
    <w:rsid w:val="008F0992"/>
    <w:rsid w:val="008F1AC4"/>
    <w:rsid w:val="008F60C6"/>
    <w:rsid w:val="008F6280"/>
    <w:rsid w:val="009011D7"/>
    <w:rsid w:val="00901664"/>
    <w:rsid w:val="00904AA0"/>
    <w:rsid w:val="0090667D"/>
    <w:rsid w:val="0090763C"/>
    <w:rsid w:val="00910F1E"/>
    <w:rsid w:val="00911969"/>
    <w:rsid w:val="0091687E"/>
    <w:rsid w:val="00917281"/>
    <w:rsid w:val="0092127A"/>
    <w:rsid w:val="00922269"/>
    <w:rsid w:val="009261A5"/>
    <w:rsid w:val="00927B6F"/>
    <w:rsid w:val="009304FB"/>
    <w:rsid w:val="00930E50"/>
    <w:rsid w:val="00933AEA"/>
    <w:rsid w:val="009362E5"/>
    <w:rsid w:val="00936715"/>
    <w:rsid w:val="009372EC"/>
    <w:rsid w:val="0094006C"/>
    <w:rsid w:val="00941C44"/>
    <w:rsid w:val="009448BB"/>
    <w:rsid w:val="009453F6"/>
    <w:rsid w:val="00950C9C"/>
    <w:rsid w:val="00953367"/>
    <w:rsid w:val="00953E65"/>
    <w:rsid w:val="00957D03"/>
    <w:rsid w:val="00961C4E"/>
    <w:rsid w:val="00964045"/>
    <w:rsid w:val="00965F7E"/>
    <w:rsid w:val="009663C0"/>
    <w:rsid w:val="00972B9E"/>
    <w:rsid w:val="00974C4A"/>
    <w:rsid w:val="0097600E"/>
    <w:rsid w:val="00980739"/>
    <w:rsid w:val="009856CB"/>
    <w:rsid w:val="0098635A"/>
    <w:rsid w:val="009914DF"/>
    <w:rsid w:val="00992DDC"/>
    <w:rsid w:val="00993BDB"/>
    <w:rsid w:val="0099410C"/>
    <w:rsid w:val="009955E9"/>
    <w:rsid w:val="00995CC4"/>
    <w:rsid w:val="009A408B"/>
    <w:rsid w:val="009A445C"/>
    <w:rsid w:val="009A5738"/>
    <w:rsid w:val="009A65AE"/>
    <w:rsid w:val="009A7188"/>
    <w:rsid w:val="009B01A5"/>
    <w:rsid w:val="009B1D5D"/>
    <w:rsid w:val="009B2A1A"/>
    <w:rsid w:val="009B3174"/>
    <w:rsid w:val="009B6818"/>
    <w:rsid w:val="009B6E46"/>
    <w:rsid w:val="009B7E74"/>
    <w:rsid w:val="009C53A2"/>
    <w:rsid w:val="009C5C57"/>
    <w:rsid w:val="009C5F1A"/>
    <w:rsid w:val="009D30A9"/>
    <w:rsid w:val="009D5962"/>
    <w:rsid w:val="009E0003"/>
    <w:rsid w:val="009E4E9B"/>
    <w:rsid w:val="009F09AC"/>
    <w:rsid w:val="009F4389"/>
    <w:rsid w:val="009F5A4B"/>
    <w:rsid w:val="009F638D"/>
    <w:rsid w:val="009F641F"/>
    <w:rsid w:val="009F6A95"/>
    <w:rsid w:val="00A0043C"/>
    <w:rsid w:val="00A03328"/>
    <w:rsid w:val="00A04C4E"/>
    <w:rsid w:val="00A10FD9"/>
    <w:rsid w:val="00A12D0E"/>
    <w:rsid w:val="00A141D0"/>
    <w:rsid w:val="00A16E58"/>
    <w:rsid w:val="00A2036F"/>
    <w:rsid w:val="00A20EC8"/>
    <w:rsid w:val="00A20F00"/>
    <w:rsid w:val="00A21937"/>
    <w:rsid w:val="00A22272"/>
    <w:rsid w:val="00A23472"/>
    <w:rsid w:val="00A24692"/>
    <w:rsid w:val="00A25AD8"/>
    <w:rsid w:val="00A314D8"/>
    <w:rsid w:val="00A3505B"/>
    <w:rsid w:val="00A3597C"/>
    <w:rsid w:val="00A41398"/>
    <w:rsid w:val="00A4525D"/>
    <w:rsid w:val="00A4651C"/>
    <w:rsid w:val="00A50151"/>
    <w:rsid w:val="00A66724"/>
    <w:rsid w:val="00A67359"/>
    <w:rsid w:val="00A7268E"/>
    <w:rsid w:val="00A73D81"/>
    <w:rsid w:val="00A7726B"/>
    <w:rsid w:val="00A81BC3"/>
    <w:rsid w:val="00A834EC"/>
    <w:rsid w:val="00A866CA"/>
    <w:rsid w:val="00A90EED"/>
    <w:rsid w:val="00A91361"/>
    <w:rsid w:val="00A92378"/>
    <w:rsid w:val="00A93DA6"/>
    <w:rsid w:val="00A95BDE"/>
    <w:rsid w:val="00A964D4"/>
    <w:rsid w:val="00AA053C"/>
    <w:rsid w:val="00AA2E9A"/>
    <w:rsid w:val="00AA605A"/>
    <w:rsid w:val="00AB1BE3"/>
    <w:rsid w:val="00AB24B1"/>
    <w:rsid w:val="00AB4BBB"/>
    <w:rsid w:val="00AB6F7E"/>
    <w:rsid w:val="00AC46D2"/>
    <w:rsid w:val="00AC57CA"/>
    <w:rsid w:val="00AD0F7F"/>
    <w:rsid w:val="00AD3BC3"/>
    <w:rsid w:val="00AD62B6"/>
    <w:rsid w:val="00AD6A19"/>
    <w:rsid w:val="00AD7356"/>
    <w:rsid w:val="00AE27FF"/>
    <w:rsid w:val="00AE51DA"/>
    <w:rsid w:val="00AE6FBA"/>
    <w:rsid w:val="00AF1646"/>
    <w:rsid w:val="00AF39D0"/>
    <w:rsid w:val="00AF6518"/>
    <w:rsid w:val="00AF7C74"/>
    <w:rsid w:val="00B0067B"/>
    <w:rsid w:val="00B01633"/>
    <w:rsid w:val="00B07876"/>
    <w:rsid w:val="00B108D5"/>
    <w:rsid w:val="00B10E48"/>
    <w:rsid w:val="00B111A1"/>
    <w:rsid w:val="00B1426D"/>
    <w:rsid w:val="00B14744"/>
    <w:rsid w:val="00B15EBB"/>
    <w:rsid w:val="00B165DC"/>
    <w:rsid w:val="00B174EC"/>
    <w:rsid w:val="00B17A7A"/>
    <w:rsid w:val="00B24994"/>
    <w:rsid w:val="00B255B3"/>
    <w:rsid w:val="00B25ABF"/>
    <w:rsid w:val="00B2762D"/>
    <w:rsid w:val="00B27A43"/>
    <w:rsid w:val="00B332B4"/>
    <w:rsid w:val="00B350BA"/>
    <w:rsid w:val="00B35472"/>
    <w:rsid w:val="00B35872"/>
    <w:rsid w:val="00B407B0"/>
    <w:rsid w:val="00B41418"/>
    <w:rsid w:val="00B44790"/>
    <w:rsid w:val="00B4669A"/>
    <w:rsid w:val="00B504B3"/>
    <w:rsid w:val="00B549DC"/>
    <w:rsid w:val="00B54F09"/>
    <w:rsid w:val="00B6135D"/>
    <w:rsid w:val="00B62674"/>
    <w:rsid w:val="00B63CAE"/>
    <w:rsid w:val="00B67771"/>
    <w:rsid w:val="00B70F60"/>
    <w:rsid w:val="00B7103A"/>
    <w:rsid w:val="00B7119F"/>
    <w:rsid w:val="00B715E1"/>
    <w:rsid w:val="00B732E7"/>
    <w:rsid w:val="00B75648"/>
    <w:rsid w:val="00B757CE"/>
    <w:rsid w:val="00B819E0"/>
    <w:rsid w:val="00B849B0"/>
    <w:rsid w:val="00B84B80"/>
    <w:rsid w:val="00B87FD9"/>
    <w:rsid w:val="00B90454"/>
    <w:rsid w:val="00B90E68"/>
    <w:rsid w:val="00B940FF"/>
    <w:rsid w:val="00BA6EAC"/>
    <w:rsid w:val="00BB0466"/>
    <w:rsid w:val="00BB2DD0"/>
    <w:rsid w:val="00BB3408"/>
    <w:rsid w:val="00BB5F78"/>
    <w:rsid w:val="00BB7FB8"/>
    <w:rsid w:val="00BC23B9"/>
    <w:rsid w:val="00BC33B9"/>
    <w:rsid w:val="00BC39B2"/>
    <w:rsid w:val="00BC3A41"/>
    <w:rsid w:val="00BC4DC0"/>
    <w:rsid w:val="00BC5C04"/>
    <w:rsid w:val="00BC7227"/>
    <w:rsid w:val="00BC7538"/>
    <w:rsid w:val="00BC7966"/>
    <w:rsid w:val="00BD08D4"/>
    <w:rsid w:val="00BD11C0"/>
    <w:rsid w:val="00BD3789"/>
    <w:rsid w:val="00BD43F3"/>
    <w:rsid w:val="00BD5F95"/>
    <w:rsid w:val="00BD6587"/>
    <w:rsid w:val="00BD7236"/>
    <w:rsid w:val="00BE0AA0"/>
    <w:rsid w:val="00BE1445"/>
    <w:rsid w:val="00BE19C0"/>
    <w:rsid w:val="00BE48C2"/>
    <w:rsid w:val="00BE5401"/>
    <w:rsid w:val="00BE6CB7"/>
    <w:rsid w:val="00C01B3D"/>
    <w:rsid w:val="00C036A7"/>
    <w:rsid w:val="00C060EB"/>
    <w:rsid w:val="00C100DF"/>
    <w:rsid w:val="00C153E3"/>
    <w:rsid w:val="00C15DFD"/>
    <w:rsid w:val="00C1647A"/>
    <w:rsid w:val="00C175DF"/>
    <w:rsid w:val="00C21AB8"/>
    <w:rsid w:val="00C276DE"/>
    <w:rsid w:val="00C32089"/>
    <w:rsid w:val="00C324B1"/>
    <w:rsid w:val="00C32767"/>
    <w:rsid w:val="00C32DE0"/>
    <w:rsid w:val="00C32FCA"/>
    <w:rsid w:val="00C331EE"/>
    <w:rsid w:val="00C331F0"/>
    <w:rsid w:val="00C35BCA"/>
    <w:rsid w:val="00C41C6C"/>
    <w:rsid w:val="00C45184"/>
    <w:rsid w:val="00C457F4"/>
    <w:rsid w:val="00C55570"/>
    <w:rsid w:val="00C571EC"/>
    <w:rsid w:val="00C6507E"/>
    <w:rsid w:val="00C67440"/>
    <w:rsid w:val="00C674A1"/>
    <w:rsid w:val="00C67E97"/>
    <w:rsid w:val="00C70C88"/>
    <w:rsid w:val="00C7134D"/>
    <w:rsid w:val="00C744B4"/>
    <w:rsid w:val="00C7460B"/>
    <w:rsid w:val="00C758E7"/>
    <w:rsid w:val="00C83728"/>
    <w:rsid w:val="00C86E4A"/>
    <w:rsid w:val="00C920CC"/>
    <w:rsid w:val="00C921F2"/>
    <w:rsid w:val="00C927E5"/>
    <w:rsid w:val="00C94908"/>
    <w:rsid w:val="00C97953"/>
    <w:rsid w:val="00CA04BA"/>
    <w:rsid w:val="00CA2AB5"/>
    <w:rsid w:val="00CA50B1"/>
    <w:rsid w:val="00CA6D8A"/>
    <w:rsid w:val="00CA6FF9"/>
    <w:rsid w:val="00CA7EDE"/>
    <w:rsid w:val="00CB058C"/>
    <w:rsid w:val="00CB303A"/>
    <w:rsid w:val="00CB45C5"/>
    <w:rsid w:val="00CB4E53"/>
    <w:rsid w:val="00CB62BD"/>
    <w:rsid w:val="00CC04AE"/>
    <w:rsid w:val="00CC203A"/>
    <w:rsid w:val="00CC2685"/>
    <w:rsid w:val="00CC3F1A"/>
    <w:rsid w:val="00CC68F7"/>
    <w:rsid w:val="00CC72FB"/>
    <w:rsid w:val="00CC7486"/>
    <w:rsid w:val="00CD0B40"/>
    <w:rsid w:val="00CD457B"/>
    <w:rsid w:val="00CE02A9"/>
    <w:rsid w:val="00CE1C68"/>
    <w:rsid w:val="00CE3403"/>
    <w:rsid w:val="00CE43FD"/>
    <w:rsid w:val="00CE730D"/>
    <w:rsid w:val="00CF0563"/>
    <w:rsid w:val="00CF08AB"/>
    <w:rsid w:val="00CF1729"/>
    <w:rsid w:val="00CF190F"/>
    <w:rsid w:val="00CF28C1"/>
    <w:rsid w:val="00CF3E76"/>
    <w:rsid w:val="00CF5A33"/>
    <w:rsid w:val="00CF72E1"/>
    <w:rsid w:val="00CF7586"/>
    <w:rsid w:val="00CF7ABC"/>
    <w:rsid w:val="00D0044D"/>
    <w:rsid w:val="00D02C6E"/>
    <w:rsid w:val="00D06731"/>
    <w:rsid w:val="00D11099"/>
    <w:rsid w:val="00D12196"/>
    <w:rsid w:val="00D1490B"/>
    <w:rsid w:val="00D173B7"/>
    <w:rsid w:val="00D21EFF"/>
    <w:rsid w:val="00D23674"/>
    <w:rsid w:val="00D318E5"/>
    <w:rsid w:val="00D31E70"/>
    <w:rsid w:val="00D34760"/>
    <w:rsid w:val="00D41FEA"/>
    <w:rsid w:val="00D4260A"/>
    <w:rsid w:val="00D42A20"/>
    <w:rsid w:val="00D51644"/>
    <w:rsid w:val="00D528BD"/>
    <w:rsid w:val="00D52E1B"/>
    <w:rsid w:val="00D530D8"/>
    <w:rsid w:val="00D638D8"/>
    <w:rsid w:val="00D63A87"/>
    <w:rsid w:val="00D644DB"/>
    <w:rsid w:val="00D67D8B"/>
    <w:rsid w:val="00D701AA"/>
    <w:rsid w:val="00D704DE"/>
    <w:rsid w:val="00D708A9"/>
    <w:rsid w:val="00D7192A"/>
    <w:rsid w:val="00D7575B"/>
    <w:rsid w:val="00D75EF5"/>
    <w:rsid w:val="00D7713C"/>
    <w:rsid w:val="00D77328"/>
    <w:rsid w:val="00D8069D"/>
    <w:rsid w:val="00D80F30"/>
    <w:rsid w:val="00D812E6"/>
    <w:rsid w:val="00D8200D"/>
    <w:rsid w:val="00D82DF7"/>
    <w:rsid w:val="00D85AE9"/>
    <w:rsid w:val="00D87BE1"/>
    <w:rsid w:val="00D92F63"/>
    <w:rsid w:val="00D93090"/>
    <w:rsid w:val="00D9403D"/>
    <w:rsid w:val="00DA12C0"/>
    <w:rsid w:val="00DA1F5F"/>
    <w:rsid w:val="00DA2FF5"/>
    <w:rsid w:val="00DA40BC"/>
    <w:rsid w:val="00DA5727"/>
    <w:rsid w:val="00DA6CD9"/>
    <w:rsid w:val="00DA7ACA"/>
    <w:rsid w:val="00DB1255"/>
    <w:rsid w:val="00DB150E"/>
    <w:rsid w:val="00DB18A2"/>
    <w:rsid w:val="00DC1B7B"/>
    <w:rsid w:val="00DC6391"/>
    <w:rsid w:val="00DC7A44"/>
    <w:rsid w:val="00DD6429"/>
    <w:rsid w:val="00DE35C1"/>
    <w:rsid w:val="00DE4373"/>
    <w:rsid w:val="00DE6471"/>
    <w:rsid w:val="00DF1AA0"/>
    <w:rsid w:val="00DF44EB"/>
    <w:rsid w:val="00DF46FC"/>
    <w:rsid w:val="00DF64AE"/>
    <w:rsid w:val="00E01342"/>
    <w:rsid w:val="00E022E4"/>
    <w:rsid w:val="00E026B6"/>
    <w:rsid w:val="00E03854"/>
    <w:rsid w:val="00E050C8"/>
    <w:rsid w:val="00E075E9"/>
    <w:rsid w:val="00E1067F"/>
    <w:rsid w:val="00E13F89"/>
    <w:rsid w:val="00E16B73"/>
    <w:rsid w:val="00E176A5"/>
    <w:rsid w:val="00E17AB4"/>
    <w:rsid w:val="00E17F2C"/>
    <w:rsid w:val="00E20831"/>
    <w:rsid w:val="00E223BB"/>
    <w:rsid w:val="00E25309"/>
    <w:rsid w:val="00E323F2"/>
    <w:rsid w:val="00E326B7"/>
    <w:rsid w:val="00E33362"/>
    <w:rsid w:val="00E35BF5"/>
    <w:rsid w:val="00E45EE4"/>
    <w:rsid w:val="00E5104E"/>
    <w:rsid w:val="00E52807"/>
    <w:rsid w:val="00E5414A"/>
    <w:rsid w:val="00E54E86"/>
    <w:rsid w:val="00E57E4A"/>
    <w:rsid w:val="00E63E7A"/>
    <w:rsid w:val="00E64B06"/>
    <w:rsid w:val="00E66C01"/>
    <w:rsid w:val="00E70605"/>
    <w:rsid w:val="00E70ECE"/>
    <w:rsid w:val="00E724E6"/>
    <w:rsid w:val="00E72F29"/>
    <w:rsid w:val="00E7504C"/>
    <w:rsid w:val="00E8408E"/>
    <w:rsid w:val="00E87099"/>
    <w:rsid w:val="00E87E32"/>
    <w:rsid w:val="00E92DF3"/>
    <w:rsid w:val="00E969A3"/>
    <w:rsid w:val="00E97D61"/>
    <w:rsid w:val="00EA3B2C"/>
    <w:rsid w:val="00EA6F3A"/>
    <w:rsid w:val="00EB138C"/>
    <w:rsid w:val="00EB259B"/>
    <w:rsid w:val="00EB462F"/>
    <w:rsid w:val="00EB4916"/>
    <w:rsid w:val="00EB5494"/>
    <w:rsid w:val="00EB5FEC"/>
    <w:rsid w:val="00EB7FC6"/>
    <w:rsid w:val="00EC279E"/>
    <w:rsid w:val="00EC5148"/>
    <w:rsid w:val="00EC7B48"/>
    <w:rsid w:val="00ED18F6"/>
    <w:rsid w:val="00ED4F5D"/>
    <w:rsid w:val="00ED6DA2"/>
    <w:rsid w:val="00EE25DC"/>
    <w:rsid w:val="00EE5D54"/>
    <w:rsid w:val="00EF0350"/>
    <w:rsid w:val="00EF2B0D"/>
    <w:rsid w:val="00EF4696"/>
    <w:rsid w:val="00EF4EA4"/>
    <w:rsid w:val="00EF556F"/>
    <w:rsid w:val="00F02B29"/>
    <w:rsid w:val="00F0325F"/>
    <w:rsid w:val="00F037E0"/>
    <w:rsid w:val="00F0452F"/>
    <w:rsid w:val="00F05467"/>
    <w:rsid w:val="00F11B94"/>
    <w:rsid w:val="00F123C7"/>
    <w:rsid w:val="00F204D5"/>
    <w:rsid w:val="00F23926"/>
    <w:rsid w:val="00F31768"/>
    <w:rsid w:val="00F366B0"/>
    <w:rsid w:val="00F36E77"/>
    <w:rsid w:val="00F42112"/>
    <w:rsid w:val="00F425D4"/>
    <w:rsid w:val="00F43C0F"/>
    <w:rsid w:val="00F43E2F"/>
    <w:rsid w:val="00F44745"/>
    <w:rsid w:val="00F46AF7"/>
    <w:rsid w:val="00F50DC7"/>
    <w:rsid w:val="00F51E24"/>
    <w:rsid w:val="00F52BFC"/>
    <w:rsid w:val="00F53250"/>
    <w:rsid w:val="00F54359"/>
    <w:rsid w:val="00F543F0"/>
    <w:rsid w:val="00F562A9"/>
    <w:rsid w:val="00F65200"/>
    <w:rsid w:val="00F724FC"/>
    <w:rsid w:val="00F769FF"/>
    <w:rsid w:val="00F8276A"/>
    <w:rsid w:val="00F82A05"/>
    <w:rsid w:val="00F84074"/>
    <w:rsid w:val="00F85F95"/>
    <w:rsid w:val="00F86D4B"/>
    <w:rsid w:val="00F907B3"/>
    <w:rsid w:val="00F90CA6"/>
    <w:rsid w:val="00F93C76"/>
    <w:rsid w:val="00F9584C"/>
    <w:rsid w:val="00FA48D5"/>
    <w:rsid w:val="00FA4D2B"/>
    <w:rsid w:val="00FA681D"/>
    <w:rsid w:val="00FB0DE8"/>
    <w:rsid w:val="00FB0FB8"/>
    <w:rsid w:val="00FB5992"/>
    <w:rsid w:val="00FB6106"/>
    <w:rsid w:val="00FB6E51"/>
    <w:rsid w:val="00FC033F"/>
    <w:rsid w:val="00FC54DC"/>
    <w:rsid w:val="00FC66D0"/>
    <w:rsid w:val="00FC7074"/>
    <w:rsid w:val="00FD173D"/>
    <w:rsid w:val="00FD38EB"/>
    <w:rsid w:val="00FD4AA2"/>
    <w:rsid w:val="00FD6F01"/>
    <w:rsid w:val="00FE2333"/>
    <w:rsid w:val="00FE4B38"/>
    <w:rsid w:val="00FE78DF"/>
    <w:rsid w:val="00FE7F57"/>
    <w:rsid w:val="00FF71BB"/>
    <w:rsid w:val="12CB56F0"/>
    <w:rsid w:val="2422AAB3"/>
    <w:rsid w:val="2578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51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8E"/>
  </w:style>
  <w:style w:type="paragraph" w:styleId="Heading1">
    <w:name w:val="heading 1"/>
    <w:basedOn w:val="Normal"/>
    <w:next w:val="Normal"/>
    <w:link w:val="Heading1Char"/>
    <w:uiPriority w:val="9"/>
    <w:qFormat/>
    <w:rsid w:val="00296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454"/>
    <w:pPr>
      <w:ind w:left="720"/>
      <w:contextualSpacing/>
    </w:pPr>
  </w:style>
  <w:style w:type="table" w:styleId="TableGrid">
    <w:name w:val="Table Grid"/>
    <w:basedOn w:val="TableNormal"/>
    <w:uiPriority w:val="39"/>
    <w:rsid w:val="00B9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4"/>
    <w:rPr>
      <w:sz w:val="16"/>
      <w:szCs w:val="16"/>
    </w:rPr>
  </w:style>
  <w:style w:type="paragraph" w:styleId="CommentText">
    <w:name w:val="annotation text"/>
    <w:basedOn w:val="Normal"/>
    <w:link w:val="CommentTextChar"/>
    <w:uiPriority w:val="99"/>
    <w:unhideWhenUsed/>
    <w:rsid w:val="00B90454"/>
    <w:pPr>
      <w:spacing w:line="240" w:lineRule="auto"/>
    </w:pPr>
    <w:rPr>
      <w:sz w:val="20"/>
      <w:szCs w:val="20"/>
    </w:rPr>
  </w:style>
  <w:style w:type="character" w:customStyle="1" w:styleId="CommentTextChar">
    <w:name w:val="Comment Text Char"/>
    <w:basedOn w:val="DefaultParagraphFont"/>
    <w:link w:val="CommentText"/>
    <w:uiPriority w:val="99"/>
    <w:rsid w:val="00B90454"/>
    <w:rPr>
      <w:sz w:val="20"/>
      <w:szCs w:val="20"/>
    </w:rPr>
  </w:style>
  <w:style w:type="paragraph" w:styleId="BalloonText">
    <w:name w:val="Balloon Text"/>
    <w:basedOn w:val="Normal"/>
    <w:link w:val="BalloonTextChar"/>
    <w:uiPriority w:val="99"/>
    <w:semiHidden/>
    <w:unhideWhenUsed/>
    <w:rsid w:val="00B90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54"/>
    <w:rPr>
      <w:rFonts w:ascii="Segoe UI" w:hAnsi="Segoe UI" w:cs="Segoe UI"/>
      <w:sz w:val="18"/>
      <w:szCs w:val="18"/>
    </w:rPr>
  </w:style>
  <w:style w:type="paragraph" w:styleId="Header">
    <w:name w:val="header"/>
    <w:basedOn w:val="Normal"/>
    <w:link w:val="HeaderChar"/>
    <w:uiPriority w:val="99"/>
    <w:unhideWhenUsed/>
    <w:rsid w:val="0082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7A"/>
  </w:style>
  <w:style w:type="paragraph" w:styleId="Footer">
    <w:name w:val="footer"/>
    <w:basedOn w:val="Normal"/>
    <w:link w:val="FooterChar"/>
    <w:uiPriority w:val="99"/>
    <w:unhideWhenUsed/>
    <w:rsid w:val="0082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7A"/>
  </w:style>
  <w:style w:type="paragraph" w:styleId="CommentSubject">
    <w:name w:val="annotation subject"/>
    <w:basedOn w:val="CommentText"/>
    <w:next w:val="CommentText"/>
    <w:link w:val="CommentSubjectChar"/>
    <w:uiPriority w:val="99"/>
    <w:semiHidden/>
    <w:unhideWhenUsed/>
    <w:rsid w:val="00FC66D0"/>
    <w:rPr>
      <w:b/>
      <w:bCs/>
    </w:rPr>
  </w:style>
  <w:style w:type="character" w:customStyle="1" w:styleId="CommentSubjectChar">
    <w:name w:val="Comment Subject Char"/>
    <w:basedOn w:val="CommentTextChar"/>
    <w:link w:val="CommentSubject"/>
    <w:uiPriority w:val="99"/>
    <w:semiHidden/>
    <w:rsid w:val="00FC66D0"/>
    <w:rPr>
      <w:b/>
      <w:bCs/>
      <w:sz w:val="20"/>
      <w:szCs w:val="20"/>
    </w:rPr>
  </w:style>
  <w:style w:type="paragraph" w:styleId="Revision">
    <w:name w:val="Revision"/>
    <w:hidden/>
    <w:uiPriority w:val="99"/>
    <w:semiHidden/>
    <w:rsid w:val="00D93090"/>
    <w:pPr>
      <w:spacing w:after="0" w:line="240" w:lineRule="auto"/>
    </w:pPr>
  </w:style>
  <w:style w:type="character" w:styleId="Hyperlink">
    <w:name w:val="Hyperlink"/>
    <w:basedOn w:val="DefaultParagraphFont"/>
    <w:uiPriority w:val="99"/>
    <w:unhideWhenUsed/>
    <w:rsid w:val="00D93090"/>
    <w:rPr>
      <w:color w:val="0563C1" w:themeColor="hyperlink"/>
      <w:u w:val="single"/>
    </w:rPr>
  </w:style>
  <w:style w:type="character" w:customStyle="1" w:styleId="UnresolvedMention1">
    <w:name w:val="Unresolved Mention1"/>
    <w:basedOn w:val="DefaultParagraphFont"/>
    <w:uiPriority w:val="99"/>
    <w:semiHidden/>
    <w:unhideWhenUsed/>
    <w:rsid w:val="00D93090"/>
    <w:rPr>
      <w:color w:val="605E5C"/>
      <w:shd w:val="clear" w:color="auto" w:fill="E1DFDD"/>
    </w:rPr>
  </w:style>
  <w:style w:type="paragraph" w:customStyle="1" w:styleId="Default">
    <w:name w:val="Default"/>
    <w:rsid w:val="00D9309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A3B2C"/>
    <w:pPr>
      <w:spacing w:after="0" w:line="240" w:lineRule="auto"/>
    </w:pPr>
  </w:style>
  <w:style w:type="paragraph" w:styleId="FootnoteText">
    <w:name w:val="footnote text"/>
    <w:basedOn w:val="Normal"/>
    <w:link w:val="FootnoteTextChar"/>
    <w:uiPriority w:val="99"/>
    <w:semiHidden/>
    <w:unhideWhenUsed/>
    <w:rsid w:val="00793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A2C"/>
    <w:rPr>
      <w:sz w:val="20"/>
      <w:szCs w:val="20"/>
    </w:rPr>
  </w:style>
  <w:style w:type="character" w:styleId="FootnoteReference">
    <w:name w:val="footnote reference"/>
    <w:basedOn w:val="DefaultParagraphFont"/>
    <w:uiPriority w:val="99"/>
    <w:semiHidden/>
    <w:unhideWhenUsed/>
    <w:rsid w:val="00793A2C"/>
    <w:rPr>
      <w:vertAlign w:val="superscript"/>
    </w:rPr>
  </w:style>
  <w:style w:type="character" w:customStyle="1" w:styleId="Heading1Char">
    <w:name w:val="Heading 1 Char"/>
    <w:basedOn w:val="DefaultParagraphFont"/>
    <w:link w:val="Heading1"/>
    <w:uiPriority w:val="9"/>
    <w:rsid w:val="0029620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96209"/>
    <w:pPr>
      <w:outlineLvl w:val="9"/>
    </w:pPr>
  </w:style>
  <w:style w:type="paragraph" w:styleId="TOC2">
    <w:name w:val="toc 2"/>
    <w:basedOn w:val="Normal"/>
    <w:next w:val="Normal"/>
    <w:autoRedefine/>
    <w:uiPriority w:val="39"/>
    <w:unhideWhenUsed/>
    <w:rsid w:val="00296209"/>
    <w:pPr>
      <w:spacing w:after="100"/>
      <w:ind w:left="220"/>
    </w:pPr>
    <w:rPr>
      <w:rFonts w:eastAsiaTheme="minorEastAsia" w:cs="Times New Roman"/>
    </w:rPr>
  </w:style>
  <w:style w:type="paragraph" w:styleId="TOC1">
    <w:name w:val="toc 1"/>
    <w:basedOn w:val="Normal"/>
    <w:next w:val="Normal"/>
    <w:autoRedefine/>
    <w:uiPriority w:val="39"/>
    <w:unhideWhenUsed/>
    <w:rsid w:val="00993BDB"/>
    <w:pPr>
      <w:spacing w:after="100"/>
    </w:pPr>
    <w:rPr>
      <w:rFonts w:eastAsiaTheme="minorEastAsia" w:cs="Times New Roman"/>
      <w:b/>
      <w:bCs/>
    </w:rPr>
  </w:style>
  <w:style w:type="paragraph" w:styleId="TOC3">
    <w:name w:val="toc 3"/>
    <w:basedOn w:val="Normal"/>
    <w:next w:val="Normal"/>
    <w:autoRedefine/>
    <w:uiPriority w:val="39"/>
    <w:unhideWhenUsed/>
    <w:rsid w:val="00296209"/>
    <w:pPr>
      <w:spacing w:after="100"/>
      <w:ind w:left="440"/>
    </w:pPr>
    <w:rPr>
      <w:rFonts w:eastAsiaTheme="minorEastAsia" w:cs="Times New Roman"/>
    </w:rPr>
  </w:style>
  <w:style w:type="character" w:styleId="UnresolvedMention">
    <w:name w:val="Unresolved Mention"/>
    <w:basedOn w:val="DefaultParagraphFont"/>
    <w:uiPriority w:val="99"/>
    <w:semiHidden/>
    <w:unhideWhenUsed/>
    <w:rsid w:val="005C1E6F"/>
    <w:rPr>
      <w:color w:val="605E5C"/>
      <w:shd w:val="clear" w:color="auto" w:fill="E1DFDD"/>
    </w:rPr>
  </w:style>
  <w:style w:type="character" w:customStyle="1" w:styleId="apple-converted-space">
    <w:name w:val="apple-converted-space"/>
    <w:basedOn w:val="DefaultParagraphFont"/>
    <w:rsid w:val="0067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03624">
      <w:bodyDiv w:val="1"/>
      <w:marLeft w:val="0"/>
      <w:marRight w:val="0"/>
      <w:marTop w:val="0"/>
      <w:marBottom w:val="0"/>
      <w:divBdr>
        <w:top w:val="none" w:sz="0" w:space="0" w:color="auto"/>
        <w:left w:val="none" w:sz="0" w:space="0" w:color="auto"/>
        <w:bottom w:val="none" w:sz="0" w:space="0" w:color="auto"/>
        <w:right w:val="none" w:sz="0" w:space="0" w:color="auto"/>
      </w:divBdr>
    </w:div>
    <w:div w:id="741223666">
      <w:bodyDiv w:val="1"/>
      <w:marLeft w:val="0"/>
      <w:marRight w:val="0"/>
      <w:marTop w:val="0"/>
      <w:marBottom w:val="0"/>
      <w:divBdr>
        <w:top w:val="none" w:sz="0" w:space="0" w:color="auto"/>
        <w:left w:val="none" w:sz="0" w:space="0" w:color="auto"/>
        <w:bottom w:val="none" w:sz="0" w:space="0" w:color="auto"/>
        <w:right w:val="none" w:sz="0" w:space="0" w:color="auto"/>
      </w:divBdr>
    </w:div>
    <w:div w:id="1525173811">
      <w:bodyDiv w:val="1"/>
      <w:marLeft w:val="0"/>
      <w:marRight w:val="0"/>
      <w:marTop w:val="0"/>
      <w:marBottom w:val="0"/>
      <w:divBdr>
        <w:top w:val="none" w:sz="0" w:space="0" w:color="auto"/>
        <w:left w:val="none" w:sz="0" w:space="0" w:color="auto"/>
        <w:bottom w:val="none" w:sz="0" w:space="0" w:color="auto"/>
        <w:right w:val="none" w:sz="0" w:space="0" w:color="auto"/>
      </w:divBdr>
    </w:div>
    <w:div w:id="1533879440">
      <w:bodyDiv w:val="1"/>
      <w:marLeft w:val="0"/>
      <w:marRight w:val="0"/>
      <w:marTop w:val="0"/>
      <w:marBottom w:val="0"/>
      <w:divBdr>
        <w:top w:val="none" w:sz="0" w:space="0" w:color="auto"/>
        <w:left w:val="none" w:sz="0" w:space="0" w:color="auto"/>
        <w:bottom w:val="none" w:sz="0" w:space="0" w:color="auto"/>
        <w:right w:val="none" w:sz="0" w:space="0" w:color="auto"/>
      </w:divBdr>
      <w:divsChild>
        <w:div w:id="1168642175">
          <w:marLeft w:val="274"/>
          <w:marRight w:val="0"/>
          <w:marTop w:val="0"/>
          <w:marBottom w:val="0"/>
          <w:divBdr>
            <w:top w:val="none" w:sz="0" w:space="0" w:color="auto"/>
            <w:left w:val="none" w:sz="0" w:space="0" w:color="auto"/>
            <w:bottom w:val="none" w:sz="0" w:space="0" w:color="auto"/>
            <w:right w:val="none" w:sz="0" w:space="0" w:color="auto"/>
          </w:divBdr>
        </w:div>
      </w:divsChild>
    </w:div>
    <w:div w:id="21271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stination_x0020_Page xmlns="a7d1d18a-918b-4344-b6de-8b7924e15f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F1A42C0E133E4C9F933E811ACC6471" ma:contentTypeVersion="7" ma:contentTypeDescription="Create a new document." ma:contentTypeScope="" ma:versionID="430d0581062c6afe5314ff37813993bd">
  <xsd:schema xmlns:xsd="http://www.w3.org/2001/XMLSchema" xmlns:xs="http://www.w3.org/2001/XMLSchema" xmlns:p="http://schemas.microsoft.com/office/2006/metadata/properties" xmlns:ns1="http://schemas.microsoft.com/sharepoint/v3" xmlns:ns2="a7d1d18a-918b-4344-b6de-8b7924e15f4d" targetNamespace="http://schemas.microsoft.com/office/2006/metadata/properties" ma:root="true" ma:fieldsID="2db1d638f987eb4dd8f433ff4c77d352" ns1:_="" ns2:_="">
    <xsd:import namespace="http://schemas.microsoft.com/sharepoint/v3"/>
    <xsd:import namespace="a7d1d18a-918b-4344-b6de-8b7924e15f4d"/>
    <xsd:element name="properties">
      <xsd:complexType>
        <xsd:sequence>
          <xsd:element name="documentManagement">
            <xsd:complexType>
              <xsd:all>
                <xsd:element ref="ns1:PublishingStartDate" minOccurs="0"/>
                <xsd:element ref="ns1:PublishingExpirationDate" minOccurs="0"/>
                <xsd:element ref="ns2:Destination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d1d18a-918b-4344-b6de-8b7924e15f4d" elementFormDefault="qualified">
    <xsd:import namespace="http://schemas.microsoft.com/office/2006/documentManagement/types"/>
    <xsd:import namespace="http://schemas.microsoft.com/office/infopath/2007/PartnerControls"/>
    <xsd:element name="Destination_x0020_Page" ma:index="6" nillable="true" ma:displayName="Destination Web Part" ma:description="Input the web part that you would like the document to be displayed in For Example &quot;Fees &amp; Charges&quot; or &quot;Community Conversations&quot;...etc etc" ma:format="Dropdown" ma:internalName="Destination_x0020_Page" ma:readOnly="false">
      <xsd:simpleType>
        <xsd:restriction base="dms:Choice">
          <xsd:enumeration value="None"/>
          <xsd:enumeration value="Fees &amp; Charges"/>
          <xsd:enumeration value="Citizens Guide to Budget"/>
          <xsd:enumeration value="AFS Performance Quarterly Webpart"/>
          <xsd:enumeration value="AC Strategic Align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D6BD0-CC37-4B3B-9983-0B8CC9F8E58D}"/>
</file>

<file path=customXml/itemProps2.xml><?xml version="1.0" encoding="utf-8"?>
<ds:datastoreItem xmlns:ds="http://schemas.openxmlformats.org/officeDocument/2006/customXml" ds:itemID="{BED924A7-91FC-4EED-8A0E-1F513314674E}"/>
</file>

<file path=customXml/itemProps3.xml><?xml version="1.0" encoding="utf-8"?>
<ds:datastoreItem xmlns:ds="http://schemas.openxmlformats.org/officeDocument/2006/customXml" ds:itemID="{57157364-F900-4D97-9CEE-746AF7247549}"/>
</file>

<file path=customXml/itemProps4.xml><?xml version="1.0" encoding="utf-8"?>
<ds:datastoreItem xmlns:ds="http://schemas.openxmlformats.org/officeDocument/2006/customXml" ds:itemID="{0B3B3596-3E22-463E-8AB1-57A4E4CD776B}"/>
</file>

<file path=docProps/app.xml><?xml version="1.0" encoding="utf-8"?>
<Properties xmlns="http://schemas.openxmlformats.org/officeDocument/2006/extended-properties" xmlns:vt="http://schemas.openxmlformats.org/officeDocument/2006/docPropsVTypes">
  <Template>Normal.dotm</Template>
  <TotalTime>0</TotalTime>
  <Pages>17</Pages>
  <Words>6061</Words>
  <Characters>34549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2022-08-25T15:12:00Z</dcterms:created>
  <dcterms:modified xsi:type="dcterms:W3CDTF">2022-08-25T15:16:00Z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0x010100E0F1A42C0E133E4C9F933E811ACC6471</vt:lpwstr>
  </property>
</Properties>
</file>